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17" w:rsidRDefault="00863D17" w:rsidP="00863D17">
      <w:pPr>
        <w:tabs>
          <w:tab w:val="left" w:pos="10440"/>
          <w:tab w:val="left" w:pos="10560"/>
        </w:tabs>
        <w:ind w:right="278"/>
        <w:jc w:val="center"/>
        <w:rPr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54.25pt" o:ole="" filled="t">
            <v:fill color2="black"/>
            <v:imagedata r:id="rId7" o:title=""/>
          </v:shape>
          <o:OLEObject Type="Embed" ProgID="Word.Picture.8" ShapeID="_x0000_i1025" DrawAspect="Content" ObjectID="_1694597225" r:id="rId8"/>
        </w:object>
      </w:r>
    </w:p>
    <w:p w:rsidR="00EB002F" w:rsidRPr="00EB002F" w:rsidRDefault="00EB002F" w:rsidP="00EB002F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EB002F">
        <w:rPr>
          <w:rFonts w:eastAsiaTheme="minorHAnsi"/>
          <w:sz w:val="28"/>
          <w:szCs w:val="28"/>
          <w:lang w:val="uk-UA" w:eastAsia="en-US"/>
        </w:rPr>
        <w:t>БІЛОЗІРСЬКА СІЛЬСЬКА РАДА</w:t>
      </w:r>
    </w:p>
    <w:p w:rsidR="00EB002F" w:rsidRPr="00730D06" w:rsidRDefault="00863D17" w:rsidP="00EB002F">
      <w:pPr>
        <w:jc w:val="center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</w:t>
      </w:r>
      <w:r w:rsidR="00532629">
        <w:rPr>
          <w:rFonts w:eastAsiaTheme="minorHAnsi"/>
          <w:sz w:val="28"/>
          <w:szCs w:val="28"/>
          <w:lang w:val="uk-UA" w:eastAsia="en-US"/>
        </w:rPr>
        <w:t>9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EB002F" w:rsidRPr="00730D06">
        <w:rPr>
          <w:rFonts w:eastAsiaTheme="minorHAnsi"/>
          <w:sz w:val="28"/>
          <w:szCs w:val="28"/>
          <w:lang w:val="uk-UA" w:eastAsia="en-US"/>
        </w:rPr>
        <w:t xml:space="preserve">сесія </w:t>
      </w:r>
      <w:r w:rsidR="00EB002F" w:rsidRPr="00730D06">
        <w:rPr>
          <w:rFonts w:eastAsiaTheme="minorHAnsi"/>
          <w:sz w:val="28"/>
          <w:szCs w:val="28"/>
          <w:lang w:val="en-US" w:eastAsia="en-US"/>
        </w:rPr>
        <w:t>VI</w:t>
      </w:r>
      <w:r w:rsidR="00EB002F" w:rsidRPr="00730D06">
        <w:rPr>
          <w:rFonts w:eastAsiaTheme="minorHAnsi"/>
          <w:sz w:val="28"/>
          <w:szCs w:val="28"/>
          <w:lang w:val="uk-UA" w:eastAsia="en-US"/>
        </w:rPr>
        <w:t>І</w:t>
      </w:r>
      <w:r w:rsidR="00EB002F" w:rsidRPr="00730D06">
        <w:rPr>
          <w:rFonts w:eastAsiaTheme="minorHAnsi"/>
          <w:sz w:val="28"/>
          <w:szCs w:val="28"/>
          <w:lang w:val="en-US" w:eastAsia="en-US"/>
        </w:rPr>
        <w:t>I</w:t>
      </w:r>
      <w:r w:rsidR="00EB002F" w:rsidRPr="00730D06">
        <w:rPr>
          <w:rFonts w:eastAsiaTheme="minorHAnsi"/>
          <w:sz w:val="28"/>
          <w:szCs w:val="28"/>
          <w:lang w:val="uk-UA" w:eastAsia="en-US"/>
        </w:rPr>
        <w:t xml:space="preserve"> скликання</w:t>
      </w:r>
    </w:p>
    <w:p w:rsidR="00EB002F" w:rsidRPr="00EB002F" w:rsidRDefault="00EB002F" w:rsidP="00EB002F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EB002F">
        <w:rPr>
          <w:rFonts w:eastAsiaTheme="minorHAnsi"/>
          <w:sz w:val="28"/>
          <w:szCs w:val="28"/>
          <w:lang w:val="uk-UA" w:eastAsia="en-US"/>
        </w:rPr>
        <w:t>РІШЕННЯ</w:t>
      </w:r>
    </w:p>
    <w:p w:rsidR="00EB002F" w:rsidRPr="00EB002F" w:rsidRDefault="00EB002F" w:rsidP="00863D17">
      <w:pPr>
        <w:ind w:right="-284"/>
        <w:jc w:val="center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EB002F" w:rsidRPr="00EB002F" w:rsidRDefault="00EB002F" w:rsidP="00863D17">
      <w:pPr>
        <w:spacing w:after="200" w:line="276" w:lineRule="auto"/>
        <w:ind w:right="-284"/>
        <w:jc w:val="both"/>
        <w:rPr>
          <w:rFonts w:eastAsiaTheme="minorEastAsia"/>
          <w:sz w:val="28"/>
          <w:szCs w:val="28"/>
          <w:lang w:val="uk-UA" w:eastAsia="uk-UA"/>
        </w:rPr>
      </w:pPr>
      <w:r w:rsidRPr="00EB002F">
        <w:rPr>
          <w:rFonts w:eastAsiaTheme="minorEastAsia"/>
          <w:sz w:val="28"/>
          <w:szCs w:val="28"/>
          <w:lang w:val="uk-UA" w:eastAsia="uk-UA"/>
        </w:rPr>
        <w:t xml:space="preserve">Від </w:t>
      </w:r>
      <w:r w:rsidR="00532629">
        <w:rPr>
          <w:rFonts w:eastAsiaTheme="minorEastAsia"/>
          <w:sz w:val="28"/>
          <w:szCs w:val="28"/>
          <w:lang w:val="uk-UA" w:eastAsia="uk-UA"/>
        </w:rPr>
        <w:t>24</w:t>
      </w:r>
      <w:r w:rsidR="00497CF9">
        <w:rPr>
          <w:rFonts w:eastAsiaTheme="minorEastAsia"/>
          <w:sz w:val="28"/>
          <w:szCs w:val="28"/>
          <w:lang w:val="uk-UA" w:eastAsia="uk-UA"/>
        </w:rPr>
        <w:t xml:space="preserve"> </w:t>
      </w:r>
      <w:r w:rsidR="00532629">
        <w:rPr>
          <w:rFonts w:eastAsiaTheme="minorEastAsia"/>
          <w:sz w:val="28"/>
          <w:szCs w:val="28"/>
          <w:lang w:val="uk-UA" w:eastAsia="uk-UA"/>
        </w:rPr>
        <w:t>вересня</w:t>
      </w:r>
      <w:r w:rsidR="00CC1AA0">
        <w:rPr>
          <w:rFonts w:eastAsiaTheme="minorEastAsia"/>
          <w:sz w:val="28"/>
          <w:szCs w:val="28"/>
          <w:lang w:val="uk-UA" w:eastAsia="uk-UA"/>
        </w:rPr>
        <w:t xml:space="preserve"> 2021 року №</w:t>
      </w:r>
      <w:r w:rsidR="00532629">
        <w:rPr>
          <w:rFonts w:eastAsiaTheme="minorEastAsia"/>
          <w:sz w:val="28"/>
          <w:szCs w:val="28"/>
          <w:lang w:val="uk-UA" w:eastAsia="uk-UA"/>
        </w:rPr>
        <w:t>19</w:t>
      </w:r>
      <w:r w:rsidR="00CC1AA0">
        <w:rPr>
          <w:rFonts w:eastAsiaTheme="minorEastAsia"/>
          <w:sz w:val="28"/>
          <w:szCs w:val="28"/>
          <w:lang w:val="uk-UA" w:eastAsia="uk-UA"/>
        </w:rPr>
        <w:t>-</w:t>
      </w:r>
      <w:r w:rsidR="00532629">
        <w:rPr>
          <w:rFonts w:eastAsiaTheme="minorEastAsia"/>
          <w:sz w:val="28"/>
          <w:szCs w:val="28"/>
          <w:lang w:val="uk-UA" w:eastAsia="uk-UA"/>
        </w:rPr>
        <w:t>8</w:t>
      </w:r>
      <w:r w:rsidRPr="00AF5B20">
        <w:rPr>
          <w:rFonts w:eastAsiaTheme="minorEastAsia"/>
          <w:sz w:val="28"/>
          <w:szCs w:val="28"/>
          <w:lang w:val="uk-UA" w:eastAsia="uk-UA"/>
        </w:rPr>
        <w:t>/VII</w:t>
      </w:r>
      <w:r w:rsidR="00730D06" w:rsidRPr="00AF5B20">
        <w:rPr>
          <w:rFonts w:eastAsiaTheme="minorEastAsia"/>
          <w:sz w:val="28"/>
          <w:szCs w:val="28"/>
          <w:lang w:val="uk-UA" w:eastAsia="uk-UA"/>
        </w:rPr>
        <w:t>І</w:t>
      </w:r>
    </w:p>
    <w:p w:rsidR="00863D17" w:rsidRDefault="00497CF9" w:rsidP="00863D17">
      <w:pPr>
        <w:shd w:val="clear" w:color="auto" w:fill="FFFFFF"/>
        <w:ind w:right="-284"/>
        <w:rPr>
          <w:rFonts w:eastAsiaTheme="minorHAnsi"/>
          <w:sz w:val="28"/>
          <w:szCs w:val="28"/>
          <w:lang w:val="uk-UA" w:eastAsia="en-US"/>
        </w:rPr>
      </w:pPr>
      <w:r w:rsidRPr="00497CF9">
        <w:rPr>
          <w:rFonts w:eastAsiaTheme="minorHAnsi"/>
          <w:sz w:val="28"/>
          <w:szCs w:val="28"/>
          <w:lang w:val="uk-UA" w:eastAsia="en-US"/>
        </w:rPr>
        <w:t xml:space="preserve">Про </w:t>
      </w:r>
      <w:r w:rsidR="00532629">
        <w:rPr>
          <w:rFonts w:eastAsiaTheme="minorHAnsi"/>
          <w:sz w:val="28"/>
          <w:szCs w:val="28"/>
          <w:lang w:val="uk-UA" w:eastAsia="en-US"/>
        </w:rPr>
        <w:t>затвердження звіту про періодичне</w:t>
      </w:r>
      <w:r w:rsidR="00863D17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730D06" w:rsidRPr="00EB002F" w:rsidRDefault="00532629" w:rsidP="00863D17">
      <w:pPr>
        <w:shd w:val="clear" w:color="auto" w:fill="FFFFFF"/>
        <w:ind w:right="-284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відстеження</w:t>
      </w:r>
      <w:r w:rsidR="00863D17">
        <w:rPr>
          <w:rFonts w:eastAsiaTheme="minorHAnsi"/>
          <w:sz w:val="28"/>
          <w:szCs w:val="28"/>
          <w:lang w:val="uk-UA" w:eastAsia="en-US"/>
        </w:rPr>
        <w:t xml:space="preserve"> регуляторних актів</w:t>
      </w:r>
    </w:p>
    <w:p w:rsidR="00863D17" w:rsidRDefault="00863D17" w:rsidP="00863D17">
      <w:pPr>
        <w:ind w:right="-284"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EB002F" w:rsidRPr="00EB002F" w:rsidRDefault="00EB002F" w:rsidP="00BC077D">
      <w:pPr>
        <w:ind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B002F">
        <w:rPr>
          <w:rFonts w:eastAsiaTheme="minorHAnsi"/>
          <w:sz w:val="28"/>
          <w:szCs w:val="28"/>
          <w:lang w:val="uk-UA" w:eastAsia="en-US"/>
        </w:rPr>
        <w:t xml:space="preserve">Відповідно до </w:t>
      </w:r>
      <w:r w:rsidR="00730D06">
        <w:rPr>
          <w:rFonts w:eastAsiaTheme="minorHAnsi"/>
          <w:sz w:val="28"/>
          <w:szCs w:val="28"/>
          <w:lang w:val="uk-UA" w:eastAsia="en-US"/>
        </w:rPr>
        <w:t xml:space="preserve">статті 26 </w:t>
      </w:r>
      <w:r w:rsidR="00D044D3">
        <w:rPr>
          <w:rFonts w:eastAsiaTheme="minorHAnsi"/>
          <w:sz w:val="28"/>
          <w:szCs w:val="28"/>
          <w:lang w:val="uk-UA" w:eastAsia="en-US"/>
        </w:rPr>
        <w:t>Закону</w:t>
      </w:r>
      <w:r w:rsidRPr="00EB002F">
        <w:rPr>
          <w:rFonts w:eastAsiaTheme="minorHAnsi"/>
          <w:sz w:val="28"/>
          <w:szCs w:val="28"/>
          <w:lang w:val="uk-UA" w:eastAsia="en-US"/>
        </w:rPr>
        <w:t xml:space="preserve"> України «Про мі</w:t>
      </w:r>
      <w:r w:rsidR="00730D06">
        <w:rPr>
          <w:rFonts w:eastAsiaTheme="minorHAnsi"/>
          <w:sz w:val="28"/>
          <w:szCs w:val="28"/>
          <w:lang w:val="uk-UA" w:eastAsia="en-US"/>
        </w:rPr>
        <w:t xml:space="preserve">сцеве самоврядування в Україні», </w:t>
      </w:r>
      <w:r w:rsidR="004F01E9" w:rsidRPr="00BC077D">
        <w:rPr>
          <w:rFonts w:eastAsiaTheme="minorHAnsi"/>
          <w:sz w:val="28"/>
          <w:szCs w:val="28"/>
          <w:lang w:val="uk-UA" w:eastAsia="en-US"/>
        </w:rPr>
        <w:t>на виконання Закон</w:t>
      </w:r>
      <w:r w:rsidR="004F01E9">
        <w:rPr>
          <w:rFonts w:eastAsiaTheme="minorHAnsi"/>
          <w:sz w:val="28"/>
          <w:szCs w:val="28"/>
          <w:lang w:val="uk-UA" w:eastAsia="en-US"/>
        </w:rPr>
        <w:t>у</w:t>
      </w:r>
      <w:r w:rsidR="004F01E9" w:rsidRPr="00BC077D">
        <w:rPr>
          <w:rFonts w:eastAsiaTheme="minorHAnsi"/>
          <w:sz w:val="28"/>
          <w:szCs w:val="28"/>
          <w:lang w:val="uk-UA" w:eastAsia="en-US"/>
        </w:rPr>
        <w:t xml:space="preserve"> України «Про засади державної регуляторної політики у сфері господарської діяльності</w:t>
      </w:r>
      <w:r w:rsidR="004F01E9" w:rsidRPr="007A3F07">
        <w:rPr>
          <w:rFonts w:eastAsiaTheme="minorHAnsi"/>
          <w:sz w:val="28"/>
          <w:szCs w:val="28"/>
          <w:lang w:val="uk-UA" w:eastAsia="en-US"/>
        </w:rPr>
        <w:t>»</w:t>
      </w:r>
      <w:r w:rsidR="007A3F07" w:rsidRPr="007A3F07">
        <w:rPr>
          <w:rFonts w:eastAsiaTheme="minorHAnsi"/>
          <w:sz w:val="28"/>
          <w:szCs w:val="28"/>
          <w:lang w:val="uk-UA" w:eastAsia="en-US"/>
        </w:rPr>
        <w:t xml:space="preserve">, постанови Кабінету  Міністрів України від 11.03.2004 року № 308 «Про затвердження методик проведення аналізу впливу та відстеження результативності регуляторного акта», </w:t>
      </w:r>
      <w:r w:rsidR="00BC077D" w:rsidRPr="007A3F07">
        <w:rPr>
          <w:rFonts w:eastAsiaTheme="minorHAnsi"/>
          <w:sz w:val="28"/>
          <w:szCs w:val="28"/>
          <w:lang w:val="uk-UA" w:eastAsia="en-US"/>
        </w:rPr>
        <w:t>з м</w:t>
      </w:r>
      <w:r w:rsidR="00BC077D" w:rsidRPr="00BC077D">
        <w:rPr>
          <w:rFonts w:eastAsiaTheme="minorHAnsi"/>
          <w:sz w:val="28"/>
          <w:szCs w:val="28"/>
          <w:lang w:val="uk-UA" w:eastAsia="en-US"/>
        </w:rPr>
        <w:t xml:space="preserve">етою </w:t>
      </w:r>
      <w:r w:rsidR="007A3F07">
        <w:rPr>
          <w:sz w:val="28"/>
          <w:szCs w:val="28"/>
          <w:lang w:val="uk-UA"/>
        </w:rPr>
        <w:t>забезпечення реалізації державної регуляторної політики</w:t>
      </w:r>
      <w:r w:rsidRPr="00730D06">
        <w:rPr>
          <w:rFonts w:eastAsiaTheme="minorHAnsi"/>
          <w:sz w:val="28"/>
          <w:szCs w:val="28"/>
          <w:lang w:val="uk-UA" w:eastAsia="en-US"/>
        </w:rPr>
        <w:t>,</w:t>
      </w:r>
      <w:r w:rsidRPr="00EB002F">
        <w:rPr>
          <w:rFonts w:eastAsiaTheme="minorHAnsi"/>
          <w:sz w:val="28"/>
          <w:szCs w:val="28"/>
          <w:lang w:val="uk-UA" w:eastAsia="en-US"/>
        </w:rPr>
        <w:t xml:space="preserve"> сесія </w:t>
      </w:r>
      <w:proofErr w:type="spellStart"/>
      <w:r w:rsidRPr="00EB002F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Pr="00EB002F">
        <w:rPr>
          <w:rFonts w:eastAsiaTheme="minorHAnsi"/>
          <w:sz w:val="28"/>
          <w:szCs w:val="28"/>
          <w:lang w:val="uk-UA" w:eastAsia="en-US"/>
        </w:rPr>
        <w:t xml:space="preserve"> сільської ради </w:t>
      </w:r>
      <w:r w:rsidRPr="00EB002F">
        <w:rPr>
          <w:rFonts w:eastAsiaTheme="minorHAnsi"/>
          <w:b/>
          <w:bCs/>
          <w:sz w:val="28"/>
          <w:szCs w:val="28"/>
          <w:lang w:val="uk-UA" w:eastAsia="en-US"/>
        </w:rPr>
        <w:t>В И Р І Ш ИЛ А:</w:t>
      </w:r>
    </w:p>
    <w:p w:rsidR="00863D17" w:rsidRDefault="00B9644C" w:rsidP="00B9644C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before="225" w:after="200" w:line="324" w:lineRule="atLeast"/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Затвердити з</w:t>
      </w:r>
      <w:r w:rsidRPr="00B9644C">
        <w:rPr>
          <w:rFonts w:eastAsiaTheme="minorHAnsi"/>
          <w:sz w:val="28"/>
          <w:szCs w:val="28"/>
          <w:lang w:val="uk-UA" w:eastAsia="en-US"/>
        </w:rPr>
        <w:t xml:space="preserve">віт про базове відстеження результативності регуляторного акта  –  рішення </w:t>
      </w:r>
      <w:proofErr w:type="spellStart"/>
      <w:r w:rsidRPr="00B9644C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Pr="00B9644C">
        <w:rPr>
          <w:rFonts w:eastAsiaTheme="minorHAnsi"/>
          <w:sz w:val="28"/>
          <w:szCs w:val="28"/>
          <w:lang w:val="uk-UA" w:eastAsia="en-US"/>
        </w:rPr>
        <w:t xml:space="preserve"> сільської ради «Про встановлення ставок та пільг із сплати земельного податку на території </w:t>
      </w:r>
      <w:proofErr w:type="spellStart"/>
      <w:r w:rsidRPr="00B9644C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Pr="00B9644C">
        <w:rPr>
          <w:rFonts w:eastAsiaTheme="minorHAnsi"/>
          <w:sz w:val="28"/>
          <w:szCs w:val="28"/>
          <w:lang w:val="uk-UA" w:eastAsia="en-US"/>
        </w:rPr>
        <w:t xml:space="preserve"> сільської ради на 2021 рік» </w:t>
      </w:r>
      <w:r w:rsidR="00863D17" w:rsidRPr="00B9644C">
        <w:rPr>
          <w:rFonts w:eastAsiaTheme="minorHAnsi"/>
          <w:sz w:val="28"/>
          <w:szCs w:val="28"/>
          <w:lang w:val="uk-UA" w:eastAsia="en-US"/>
        </w:rPr>
        <w:t>(</w:t>
      </w:r>
      <w:r w:rsidR="00863D17">
        <w:rPr>
          <w:rFonts w:eastAsiaTheme="minorHAnsi"/>
          <w:sz w:val="28"/>
          <w:szCs w:val="28"/>
          <w:lang w:val="uk-UA" w:eastAsia="en-US"/>
        </w:rPr>
        <w:t>Д</w:t>
      </w:r>
      <w:r w:rsidR="00863D17" w:rsidRPr="00B9644C">
        <w:rPr>
          <w:rFonts w:eastAsiaTheme="minorHAnsi"/>
          <w:sz w:val="28"/>
          <w:szCs w:val="28"/>
          <w:lang w:val="uk-UA" w:eastAsia="en-US"/>
        </w:rPr>
        <w:t>ода</w:t>
      </w:r>
      <w:r w:rsidR="00863D17">
        <w:rPr>
          <w:rFonts w:eastAsiaTheme="minorHAnsi"/>
          <w:sz w:val="28"/>
          <w:szCs w:val="28"/>
          <w:lang w:val="uk-UA" w:eastAsia="en-US"/>
        </w:rPr>
        <w:t>ток 1</w:t>
      </w:r>
      <w:r w:rsidR="00863D17" w:rsidRPr="00B9644C">
        <w:rPr>
          <w:rFonts w:eastAsiaTheme="minorHAnsi"/>
          <w:sz w:val="28"/>
          <w:szCs w:val="28"/>
          <w:lang w:val="uk-UA" w:eastAsia="en-US"/>
        </w:rPr>
        <w:t>).</w:t>
      </w:r>
    </w:p>
    <w:p w:rsidR="005D45E2" w:rsidRDefault="00432425" w:rsidP="00B9644C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before="225" w:after="200" w:line="324" w:lineRule="atLeast"/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Затвердити з</w:t>
      </w:r>
      <w:r w:rsidRPr="00B9644C">
        <w:rPr>
          <w:rFonts w:eastAsiaTheme="minorHAnsi"/>
          <w:sz w:val="28"/>
          <w:szCs w:val="28"/>
          <w:lang w:val="uk-UA" w:eastAsia="en-US"/>
        </w:rPr>
        <w:t>віт</w:t>
      </w:r>
      <w:r w:rsidR="00B9644C" w:rsidRPr="00B9644C">
        <w:rPr>
          <w:rFonts w:eastAsiaTheme="minorHAnsi"/>
          <w:sz w:val="28"/>
          <w:szCs w:val="28"/>
          <w:lang w:val="uk-UA" w:eastAsia="en-US"/>
        </w:rPr>
        <w:t xml:space="preserve"> про базове відстеження результативності регуляторного акта – рішення </w:t>
      </w:r>
      <w:proofErr w:type="spellStart"/>
      <w:r w:rsidR="00B9644C" w:rsidRPr="00B9644C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="00B9644C" w:rsidRPr="00B9644C">
        <w:rPr>
          <w:rFonts w:eastAsiaTheme="minorHAnsi"/>
          <w:sz w:val="28"/>
          <w:szCs w:val="28"/>
          <w:lang w:val="uk-UA" w:eastAsia="en-US"/>
        </w:rPr>
        <w:t xml:space="preserve"> сільської ради «Про встановлення ставок єдиного податку на території </w:t>
      </w:r>
      <w:proofErr w:type="spellStart"/>
      <w:r w:rsidR="00B9644C" w:rsidRPr="00B9644C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="00B9644C" w:rsidRPr="00B9644C">
        <w:rPr>
          <w:rFonts w:eastAsiaTheme="minorHAnsi"/>
          <w:sz w:val="28"/>
          <w:szCs w:val="28"/>
          <w:lang w:val="uk-UA" w:eastAsia="en-US"/>
        </w:rPr>
        <w:t xml:space="preserve"> сільської ради на 2021 рік»</w:t>
      </w:r>
      <w:r w:rsidR="00863D17" w:rsidRPr="00B9644C">
        <w:rPr>
          <w:rFonts w:eastAsiaTheme="minorHAnsi"/>
          <w:sz w:val="28"/>
          <w:szCs w:val="28"/>
          <w:lang w:val="uk-UA" w:eastAsia="en-US"/>
        </w:rPr>
        <w:t xml:space="preserve"> (</w:t>
      </w:r>
      <w:r w:rsidR="00863D17">
        <w:rPr>
          <w:rFonts w:eastAsiaTheme="minorHAnsi"/>
          <w:sz w:val="28"/>
          <w:szCs w:val="28"/>
          <w:lang w:val="uk-UA" w:eastAsia="en-US"/>
        </w:rPr>
        <w:t>Додаток 2</w:t>
      </w:r>
      <w:r w:rsidR="00863D17" w:rsidRPr="00B9644C">
        <w:rPr>
          <w:rFonts w:eastAsiaTheme="minorHAnsi"/>
          <w:sz w:val="28"/>
          <w:szCs w:val="28"/>
          <w:lang w:val="uk-UA" w:eastAsia="en-US"/>
        </w:rPr>
        <w:t>)</w:t>
      </w:r>
      <w:r w:rsidR="005D45E2">
        <w:rPr>
          <w:rFonts w:eastAsiaTheme="minorHAnsi"/>
          <w:sz w:val="28"/>
          <w:szCs w:val="28"/>
          <w:lang w:val="uk-UA" w:eastAsia="en-US"/>
        </w:rPr>
        <w:t>.</w:t>
      </w:r>
      <w:r w:rsidR="00F30AD4" w:rsidRPr="005D45E2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432425" w:rsidRPr="00432425" w:rsidRDefault="00B9644C" w:rsidP="00432425">
      <w:pPr>
        <w:pStyle w:val="a3"/>
        <w:numPr>
          <w:ilvl w:val="0"/>
          <w:numId w:val="4"/>
        </w:numPr>
        <w:tabs>
          <w:tab w:val="left" w:pos="993"/>
        </w:tabs>
        <w:spacing w:before="225" w:after="200" w:line="324" w:lineRule="atLeast"/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2425">
        <w:rPr>
          <w:rFonts w:eastAsiaTheme="minorHAnsi"/>
          <w:sz w:val="28"/>
          <w:szCs w:val="28"/>
          <w:lang w:val="uk-UA" w:eastAsia="en-US"/>
        </w:rPr>
        <w:t>Затвердити звіт</w:t>
      </w:r>
      <w:r w:rsidR="00432425" w:rsidRPr="00432425">
        <w:rPr>
          <w:rFonts w:eastAsiaTheme="minorHAnsi"/>
          <w:sz w:val="28"/>
          <w:szCs w:val="28"/>
          <w:lang w:val="uk-UA" w:eastAsia="en-US"/>
        </w:rPr>
        <w:t xml:space="preserve"> про базове відстеження результативності регуляторного акта – рішення </w:t>
      </w:r>
      <w:proofErr w:type="spellStart"/>
      <w:r w:rsidR="00432425" w:rsidRPr="00432425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="00432425" w:rsidRPr="00432425">
        <w:rPr>
          <w:rFonts w:eastAsiaTheme="minorHAnsi"/>
          <w:sz w:val="28"/>
          <w:szCs w:val="28"/>
          <w:lang w:val="uk-UA" w:eastAsia="en-US"/>
        </w:rPr>
        <w:t xml:space="preserve"> сільської ради «Про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432425" w:rsidRPr="00432425">
        <w:rPr>
          <w:rFonts w:eastAsiaTheme="minorHAnsi"/>
          <w:sz w:val="28"/>
          <w:szCs w:val="28"/>
          <w:lang w:val="uk-UA" w:eastAsia="en-US"/>
        </w:rPr>
        <w:t>Білозірської</w:t>
      </w:r>
      <w:proofErr w:type="spellEnd"/>
      <w:r w:rsidR="00432425" w:rsidRPr="00432425">
        <w:rPr>
          <w:rFonts w:eastAsiaTheme="minorHAnsi"/>
          <w:sz w:val="28"/>
          <w:szCs w:val="28"/>
          <w:lang w:val="uk-UA" w:eastAsia="en-US"/>
        </w:rPr>
        <w:t xml:space="preserve"> сільської ради на 2021 рік» із змінами (Додаток 3)</w:t>
      </w:r>
      <w:r w:rsidR="000A31FB">
        <w:rPr>
          <w:rFonts w:eastAsiaTheme="minorHAnsi"/>
          <w:sz w:val="28"/>
          <w:szCs w:val="28"/>
          <w:lang w:val="uk-UA" w:eastAsia="en-US"/>
        </w:rPr>
        <w:t>.</w:t>
      </w:r>
    </w:p>
    <w:p w:rsidR="00863D17" w:rsidRDefault="00850E84" w:rsidP="00863D17">
      <w:pPr>
        <w:pStyle w:val="a3"/>
        <w:numPr>
          <w:ilvl w:val="0"/>
          <w:numId w:val="4"/>
        </w:numPr>
        <w:tabs>
          <w:tab w:val="left" w:pos="993"/>
        </w:tabs>
        <w:spacing w:before="225" w:after="200" w:line="324" w:lineRule="atLeast"/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2425">
        <w:rPr>
          <w:rFonts w:eastAsiaTheme="minorHAnsi"/>
          <w:sz w:val="28"/>
          <w:szCs w:val="28"/>
          <w:lang w:val="uk-UA" w:eastAsia="en-US"/>
        </w:rPr>
        <w:t>Затвердити звіт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50E84">
        <w:rPr>
          <w:sz w:val="28"/>
          <w:szCs w:val="28"/>
          <w:lang w:val="uk-UA"/>
        </w:rPr>
        <w:t xml:space="preserve">про базове відстеження результативності регуляторного акта – рішення </w:t>
      </w:r>
      <w:proofErr w:type="spellStart"/>
      <w:r w:rsidRPr="00850E84">
        <w:rPr>
          <w:sz w:val="28"/>
          <w:szCs w:val="28"/>
          <w:lang w:val="uk-UA"/>
        </w:rPr>
        <w:t>Білозірської</w:t>
      </w:r>
      <w:proofErr w:type="spellEnd"/>
      <w:r w:rsidRPr="00850E84">
        <w:rPr>
          <w:sz w:val="28"/>
          <w:szCs w:val="28"/>
          <w:lang w:val="uk-UA"/>
        </w:rPr>
        <w:t xml:space="preserve"> сільської ради  «Про встановлення ставок на транспортний податок, туристичний збір та збір за місця для паркування транспортних засобів на території </w:t>
      </w:r>
      <w:proofErr w:type="spellStart"/>
      <w:r w:rsidRPr="00850E84">
        <w:rPr>
          <w:sz w:val="28"/>
          <w:szCs w:val="28"/>
          <w:lang w:val="uk-UA"/>
        </w:rPr>
        <w:t>Білозірської</w:t>
      </w:r>
      <w:proofErr w:type="spellEnd"/>
      <w:r w:rsidRPr="00850E84">
        <w:rPr>
          <w:sz w:val="28"/>
          <w:szCs w:val="28"/>
          <w:lang w:val="uk-UA"/>
        </w:rPr>
        <w:t xml:space="preserve"> сільської ради на 2021 рік» (Додаток 4)</w:t>
      </w:r>
      <w:r w:rsidR="00863D17" w:rsidRPr="00850E84">
        <w:rPr>
          <w:rFonts w:eastAsiaTheme="minorHAnsi"/>
          <w:sz w:val="28"/>
          <w:szCs w:val="28"/>
          <w:lang w:val="uk-UA" w:eastAsia="en-US"/>
        </w:rPr>
        <w:t>.</w:t>
      </w:r>
    </w:p>
    <w:p w:rsidR="00850E84" w:rsidRPr="00850E84" w:rsidRDefault="00850E84" w:rsidP="00863D17">
      <w:pPr>
        <w:pStyle w:val="a3"/>
        <w:numPr>
          <w:ilvl w:val="0"/>
          <w:numId w:val="4"/>
        </w:numPr>
        <w:tabs>
          <w:tab w:val="left" w:pos="993"/>
        </w:tabs>
        <w:spacing w:before="225" w:after="200" w:line="324" w:lineRule="atLeast"/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Робочій комісії з питань перегляду регуляторних актів продовжити роботу з відстеження результативності регуляторних актів відповідно до вимог чинного законодавства.</w:t>
      </w:r>
    </w:p>
    <w:p w:rsidR="0025104B" w:rsidRPr="00772DCB" w:rsidRDefault="005F35BF" w:rsidP="00863D17">
      <w:pPr>
        <w:pStyle w:val="a3"/>
        <w:numPr>
          <w:ilvl w:val="0"/>
          <w:numId w:val="4"/>
        </w:numPr>
        <w:tabs>
          <w:tab w:val="left" w:pos="993"/>
        </w:tabs>
        <w:ind w:left="0" w:right="-284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772DCB">
        <w:rPr>
          <w:rFonts w:eastAsia="Calibri"/>
          <w:sz w:val="28"/>
          <w:szCs w:val="28"/>
          <w:lang w:val="uk-UA" w:eastAsia="en-US"/>
        </w:rPr>
        <w:t xml:space="preserve">Контроль за виконанням даного рішення покласти </w:t>
      </w:r>
      <w:r w:rsidR="00AF5B20" w:rsidRPr="00772DCB">
        <w:rPr>
          <w:rFonts w:eastAsia="Calibri"/>
          <w:sz w:val="28"/>
          <w:szCs w:val="28"/>
          <w:lang w:val="uk-UA" w:eastAsia="en-US"/>
        </w:rPr>
        <w:t xml:space="preserve">на </w:t>
      </w:r>
      <w:r w:rsidR="00863D17">
        <w:rPr>
          <w:rFonts w:eastAsiaTheme="minorHAnsi"/>
          <w:bCs/>
          <w:sz w:val="28"/>
          <w:szCs w:val="28"/>
          <w:lang w:val="uk-UA" w:eastAsia="en-US"/>
        </w:rPr>
        <w:t>секретаря сільської ради, виконкому Діброву Т.М.</w:t>
      </w:r>
    </w:p>
    <w:p w:rsidR="00850E84" w:rsidRDefault="00850E84" w:rsidP="00863D17">
      <w:pPr>
        <w:tabs>
          <w:tab w:val="left" w:pos="0"/>
          <w:tab w:val="left" w:pos="7088"/>
        </w:tabs>
        <w:outlineLvl w:val="0"/>
        <w:rPr>
          <w:sz w:val="28"/>
          <w:lang w:val="uk-UA"/>
        </w:rPr>
      </w:pPr>
    </w:p>
    <w:p w:rsidR="00A61BE3" w:rsidRDefault="00A61BE3" w:rsidP="00863D17">
      <w:pPr>
        <w:tabs>
          <w:tab w:val="left" w:pos="0"/>
          <w:tab w:val="left" w:pos="7088"/>
        </w:tabs>
        <w:outlineLvl w:val="0"/>
        <w:rPr>
          <w:sz w:val="28"/>
          <w:lang w:val="uk-UA"/>
        </w:rPr>
      </w:pPr>
    </w:p>
    <w:p w:rsidR="00863D17" w:rsidRPr="007D53C2" w:rsidRDefault="00863D17" w:rsidP="00863D17">
      <w:pPr>
        <w:tabs>
          <w:tab w:val="left" w:pos="0"/>
          <w:tab w:val="left" w:pos="7088"/>
        </w:tabs>
        <w:outlineLvl w:val="0"/>
        <w:rPr>
          <w:lang w:val="uk-UA"/>
        </w:rPr>
      </w:pPr>
      <w:r>
        <w:rPr>
          <w:sz w:val="28"/>
          <w:lang w:val="uk-UA"/>
        </w:rPr>
        <w:t>Сільський голова                                                                       В. МІЦУК</w:t>
      </w:r>
    </w:p>
    <w:p w:rsidR="00497CF9" w:rsidRDefault="00AB57E0" w:rsidP="00863D17">
      <w:pPr>
        <w:ind w:right="-284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</w:t>
      </w:r>
    </w:p>
    <w:p w:rsidR="00AB57E0" w:rsidRPr="009D2663" w:rsidRDefault="00AB57E0" w:rsidP="00AB57E0">
      <w:pPr>
        <w:spacing w:before="120"/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Додаток 1 </w:t>
      </w:r>
    </w:p>
    <w:p w:rsidR="00AB57E0" w:rsidRPr="009D2663" w:rsidRDefault="00AB57E0" w:rsidP="00AB57E0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Затверджено </w:t>
      </w:r>
    </w:p>
    <w:p w:rsidR="00AB57E0" w:rsidRPr="009D2663" w:rsidRDefault="00AB57E0" w:rsidP="00AB57E0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рішенням сесії сільської ради </w:t>
      </w:r>
    </w:p>
    <w:p w:rsidR="00AB57E0" w:rsidRDefault="005F45E6" w:rsidP="005F45E6">
      <w:pPr>
        <w:ind w:right="-568"/>
        <w:rPr>
          <w:lang w:val="uk-UA"/>
        </w:rPr>
      </w:pPr>
      <w:r w:rsidRPr="009D2663">
        <w:rPr>
          <w:sz w:val="22"/>
          <w:szCs w:val="22"/>
          <w:lang w:val="uk-UA"/>
        </w:rPr>
        <w:t xml:space="preserve">                                                                 </w:t>
      </w:r>
      <w:r w:rsidR="009D2663">
        <w:rPr>
          <w:sz w:val="22"/>
          <w:szCs w:val="22"/>
          <w:lang w:val="uk-UA"/>
        </w:rPr>
        <w:t xml:space="preserve">                      </w:t>
      </w:r>
      <w:r w:rsidRPr="009D2663">
        <w:rPr>
          <w:sz w:val="22"/>
          <w:szCs w:val="22"/>
          <w:lang w:val="uk-UA"/>
        </w:rPr>
        <w:t xml:space="preserve">                24 вересня 2021 року № 19-08/VIIІ</w:t>
      </w:r>
    </w:p>
    <w:p w:rsidR="00BB3B5C" w:rsidRPr="00BB3B5C" w:rsidRDefault="00AB57E0" w:rsidP="00BB3B5C">
      <w:pPr>
        <w:jc w:val="both"/>
        <w:rPr>
          <w:b/>
          <w:sz w:val="28"/>
          <w:szCs w:val="28"/>
          <w:lang w:val="uk-UA"/>
        </w:rPr>
      </w:pPr>
      <w:r w:rsidRPr="000C5D32">
        <w:rPr>
          <w:color w:val="2F2F2F"/>
          <w:sz w:val="28"/>
          <w:szCs w:val="28"/>
          <w:bdr w:val="none" w:sz="0" w:space="0" w:color="auto" w:frame="1"/>
          <w:lang w:val="uk-UA"/>
        </w:rPr>
        <w:br/>
      </w:r>
    </w:p>
    <w:p w:rsidR="00BB3B5C" w:rsidRPr="00BB3B5C" w:rsidRDefault="00363519" w:rsidP="003635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б</w:t>
      </w:r>
      <w:r w:rsidR="00BB3B5C" w:rsidRPr="00BB3B5C">
        <w:rPr>
          <w:b/>
          <w:sz w:val="28"/>
          <w:szCs w:val="28"/>
          <w:lang w:val="uk-UA"/>
        </w:rPr>
        <w:t xml:space="preserve">азове відстеження результативності регуляторного акта  –  рішення </w:t>
      </w:r>
      <w:proofErr w:type="spellStart"/>
      <w:r w:rsidR="00BB3B5C" w:rsidRP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b/>
          <w:sz w:val="28"/>
          <w:szCs w:val="28"/>
          <w:lang w:val="uk-UA"/>
        </w:rPr>
        <w:t xml:space="preserve"> сільської ради «Про встановлення ставок та пільг із сплати земельного податку на території </w:t>
      </w:r>
      <w:proofErr w:type="spellStart"/>
      <w:r w:rsidR="00BB3B5C" w:rsidRP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b/>
          <w:sz w:val="28"/>
          <w:szCs w:val="28"/>
          <w:lang w:val="uk-UA"/>
        </w:rPr>
        <w:t xml:space="preserve"> сільської ради на 2021 рік»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1. Вид та назва регуляторного акта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 xml:space="preserve">Рішення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ради від 23.06.2020 № 107-5/</w:t>
      </w:r>
      <w:r w:rsidRPr="00BB3B5C">
        <w:rPr>
          <w:sz w:val="28"/>
          <w:szCs w:val="28"/>
          <w:lang w:val="en-US"/>
        </w:rPr>
        <w:t>VII</w:t>
      </w:r>
      <w:r w:rsidRPr="00BB3B5C">
        <w:rPr>
          <w:sz w:val="28"/>
          <w:szCs w:val="28"/>
          <w:lang w:val="uk-UA"/>
        </w:rPr>
        <w:t xml:space="preserve"> «Про встановлення ставок та пільг із сплати земельного податку на території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ради на 2021 рік»</w:t>
      </w:r>
      <w:r w:rsidR="00B9644C">
        <w:rPr>
          <w:sz w:val="28"/>
          <w:szCs w:val="28"/>
          <w:lang w:val="uk-UA"/>
        </w:rPr>
        <w:t>.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2. Назва виконавця заходів з відстеження результативності</w:t>
      </w:r>
    </w:p>
    <w:p w:rsidR="00363519" w:rsidRPr="00363519" w:rsidRDefault="00363519" w:rsidP="003635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63519">
        <w:rPr>
          <w:sz w:val="28"/>
          <w:szCs w:val="28"/>
          <w:lang w:val="uk-UA"/>
        </w:rPr>
        <w:t>обоч</w:t>
      </w:r>
      <w:r>
        <w:rPr>
          <w:sz w:val="28"/>
          <w:szCs w:val="28"/>
          <w:lang w:val="uk-UA"/>
        </w:rPr>
        <w:t>а</w:t>
      </w:r>
      <w:r w:rsidRPr="0036351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363519">
        <w:rPr>
          <w:sz w:val="28"/>
          <w:szCs w:val="28"/>
          <w:lang w:val="uk-UA"/>
        </w:rPr>
        <w:t xml:space="preserve"> з питань перегляду регуляторних актів</w:t>
      </w:r>
      <w:r w:rsidR="00B9644C">
        <w:rPr>
          <w:sz w:val="28"/>
          <w:szCs w:val="28"/>
          <w:lang w:val="uk-UA"/>
        </w:rPr>
        <w:t>.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3. Цілі прийняття акта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Основні цілі прийняття даного регуляторного акта є: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 xml:space="preserve">Рішення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ради від 23.06.2020 № 107-5/</w:t>
      </w:r>
      <w:r w:rsidRPr="00BB3B5C">
        <w:rPr>
          <w:sz w:val="28"/>
          <w:szCs w:val="28"/>
          <w:lang w:val="en-US"/>
        </w:rPr>
        <w:t>VII</w:t>
      </w:r>
      <w:r w:rsidRPr="00BB3B5C">
        <w:rPr>
          <w:sz w:val="28"/>
          <w:szCs w:val="28"/>
          <w:lang w:val="uk-UA"/>
        </w:rPr>
        <w:t xml:space="preserve"> «Про встановлення ставок та пільг із сплати земельного податку на території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ради на 2021 рік» прийнято з метою встановлення ставок земельного податку, розмірів орендної плати та пільг зі сплати за користування земельними ділянками сільської ради.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4. Строк виконання заходів результативності: </w:t>
      </w:r>
      <w:r w:rsidRPr="00BB3B5C">
        <w:rPr>
          <w:sz w:val="28"/>
          <w:szCs w:val="28"/>
          <w:lang w:val="uk-UA"/>
        </w:rPr>
        <w:t>І-ІІ квартали 2021 року.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5. Тип відстеження: </w:t>
      </w:r>
      <w:r w:rsidRPr="00BB3B5C">
        <w:rPr>
          <w:sz w:val="28"/>
          <w:szCs w:val="28"/>
          <w:lang w:val="uk-UA"/>
        </w:rPr>
        <w:t>базове відстеження.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6. Метод одержання результатів відстеження – </w:t>
      </w:r>
      <w:r w:rsidRPr="00BB3B5C">
        <w:rPr>
          <w:sz w:val="28"/>
          <w:szCs w:val="28"/>
          <w:lang w:val="uk-UA"/>
        </w:rPr>
        <w:t>статистичний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Відстеження результативності регуляторного акта здійснювалося шляхом аналізу даних відділу доходів, бухгалтерського обліку та звітності сільської ради щодо динаміки надходжень до бюджету земельного податку.</w:t>
      </w:r>
    </w:p>
    <w:p w:rsidR="00BB3B5C" w:rsidRPr="00BB3B5C" w:rsidRDefault="00BB3B5C" w:rsidP="00363519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8. Кількісні та якісні значення показників результативності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Відстеження результативності регуляторного акта здійснюється у встановленому законодавством порядку за  кількісними і якісними показниками з використанням статистичного метода  одержання результатів відстеження.</w:t>
      </w:r>
    </w:p>
    <w:tbl>
      <w:tblPr>
        <w:tblpPr w:leftFromText="180" w:rightFromText="180" w:bottomFromText="200" w:vertAnchor="text" w:horzAnchor="margin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2488"/>
        <w:gridCol w:w="2716"/>
      </w:tblGrid>
      <w:tr w:rsidR="00BB3B5C" w:rsidRPr="00BB3B5C" w:rsidTr="00BB3B5C">
        <w:trPr>
          <w:trHeight w:val="276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ascii="Calibri" w:hAnsi="Calibri"/>
                <w:lang w:eastAsia="en-US"/>
              </w:rPr>
            </w:pPr>
            <w:r w:rsidRPr="00BB3B5C">
              <w:rPr>
                <w:lang w:val="uk-UA"/>
              </w:rPr>
              <w:t>Назва показника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cs="Lohit Hindi"/>
                <w:kern w:val="2"/>
                <w:lang w:val="uk-UA"/>
              </w:rPr>
            </w:pPr>
            <w:r w:rsidRPr="00BB3B5C">
              <w:rPr>
                <w:rFonts w:cs="Lohit Hindi"/>
                <w:lang w:val="uk-UA"/>
              </w:rPr>
              <w:t>І квартал 2021  року , тис. грн.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cs="Lohit Hindi"/>
                <w:kern w:val="2"/>
                <w:lang w:val="uk-UA"/>
              </w:rPr>
            </w:pPr>
            <w:r w:rsidRPr="00BB3B5C">
              <w:rPr>
                <w:rFonts w:cs="Lohit Hindi"/>
                <w:lang w:val="en-US"/>
              </w:rPr>
              <w:t>I</w:t>
            </w:r>
            <w:r w:rsidRPr="00BB3B5C">
              <w:rPr>
                <w:rFonts w:cs="Lohit Hindi"/>
                <w:lang w:val="uk-UA"/>
              </w:rPr>
              <w:t>І квартал 2021 року, тис. грн.</w:t>
            </w:r>
          </w:p>
        </w:tc>
      </w:tr>
      <w:tr w:rsidR="00BB3B5C" w:rsidRPr="00BB3B5C" w:rsidTr="00BB3B5C">
        <w:trPr>
          <w:trHeight w:val="64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5C" w:rsidRPr="00BB3B5C" w:rsidRDefault="00BB3B5C" w:rsidP="00BB3B5C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B3B5C">
              <w:rPr>
                <w:rFonts w:eastAsia="Calibri"/>
                <w:bCs/>
                <w:lang w:val="uk-UA" w:eastAsia="en-US"/>
              </w:rPr>
              <w:t xml:space="preserve">Надходження земельного податку з юридичних осіб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865,836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1080,782</w:t>
            </w:r>
          </w:p>
        </w:tc>
      </w:tr>
      <w:tr w:rsidR="00BB3B5C" w:rsidRPr="00BB3B5C" w:rsidTr="00BB3B5C">
        <w:trPr>
          <w:trHeight w:val="104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5C" w:rsidRPr="00BB3B5C" w:rsidRDefault="00BB3B5C" w:rsidP="00BB3B5C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B3B5C">
              <w:rPr>
                <w:rFonts w:eastAsia="Calibri"/>
                <w:bCs/>
                <w:lang w:val="uk-UA" w:eastAsia="en-US"/>
              </w:rPr>
              <w:t xml:space="preserve">Надходження земельного податку з фізичних осіб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514,454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255,62</w:t>
            </w:r>
          </w:p>
        </w:tc>
      </w:tr>
    </w:tbl>
    <w:p w:rsidR="00BB3B5C" w:rsidRPr="00BB3B5C" w:rsidRDefault="00BB3B5C" w:rsidP="00BB3B5C">
      <w:pPr>
        <w:rPr>
          <w:vanish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765"/>
        <w:gridCol w:w="1135"/>
        <w:gridCol w:w="882"/>
        <w:gridCol w:w="1008"/>
        <w:gridCol w:w="1008"/>
        <w:gridCol w:w="1008"/>
        <w:gridCol w:w="882"/>
        <w:gridCol w:w="927"/>
        <w:gridCol w:w="730"/>
      </w:tblGrid>
      <w:tr w:rsidR="00BB3B5C" w:rsidRPr="00BB3B5C" w:rsidTr="00BB3B5C">
        <w:trPr>
          <w:trHeight w:val="1049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Назва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Попередній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2020 року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Звітний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2021 року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Прирі</w:t>
            </w:r>
            <w:proofErr w:type="gramStart"/>
            <w:r w:rsidRPr="00BB3B5C">
              <w:rPr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звітного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періоду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до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попереднього</w:t>
            </w:r>
            <w:proofErr w:type="spellEnd"/>
          </w:p>
        </w:tc>
      </w:tr>
      <w:tr w:rsidR="00BB3B5C" w:rsidRPr="00BB3B5C" w:rsidTr="00BB3B5C">
        <w:trPr>
          <w:trHeight w:val="42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І квартал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IІ квартал 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Разом </w:t>
            </w:r>
            <w:proofErr w:type="gramStart"/>
            <w:r w:rsidRPr="00BB3B5C">
              <w:rPr>
                <w:sz w:val="22"/>
                <w:szCs w:val="22"/>
              </w:rPr>
              <w:t>за</w:t>
            </w:r>
            <w:proofErr w:type="gramEnd"/>
            <w:r w:rsidRPr="00BB3B5C">
              <w:rPr>
                <w:sz w:val="22"/>
                <w:szCs w:val="22"/>
              </w:rPr>
              <w:t xml:space="preserve">  </w:t>
            </w:r>
            <w:proofErr w:type="spellStart"/>
            <w:r w:rsidRPr="00BB3B5C">
              <w:rPr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І квартал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IІ квартал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Разом </w:t>
            </w:r>
            <w:proofErr w:type="gramStart"/>
            <w:r w:rsidRPr="00BB3B5C">
              <w:rPr>
                <w:sz w:val="22"/>
                <w:szCs w:val="22"/>
              </w:rPr>
              <w:t>за</w:t>
            </w:r>
            <w:proofErr w:type="gramEnd"/>
            <w:r w:rsidRPr="00BB3B5C">
              <w:rPr>
                <w:sz w:val="22"/>
                <w:szCs w:val="22"/>
              </w:rPr>
              <w:t xml:space="preserve">  </w:t>
            </w:r>
            <w:proofErr w:type="spellStart"/>
            <w:r w:rsidRPr="00BB3B5C">
              <w:rPr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тис</w:t>
            </w:r>
            <w:proofErr w:type="gramStart"/>
            <w:r w:rsidRPr="00BB3B5C">
              <w:rPr>
                <w:sz w:val="22"/>
                <w:szCs w:val="22"/>
              </w:rPr>
              <w:t>.</w:t>
            </w:r>
            <w:proofErr w:type="gramEnd"/>
            <w:r w:rsidRPr="00BB3B5C">
              <w:rPr>
                <w:sz w:val="22"/>
                <w:szCs w:val="22"/>
              </w:rPr>
              <w:t xml:space="preserve"> </w:t>
            </w:r>
            <w:proofErr w:type="gramStart"/>
            <w:r w:rsidRPr="00BB3B5C">
              <w:rPr>
                <w:sz w:val="22"/>
                <w:szCs w:val="22"/>
              </w:rPr>
              <w:t>г</w:t>
            </w:r>
            <w:proofErr w:type="gramEnd"/>
            <w:r w:rsidRPr="00BB3B5C">
              <w:rPr>
                <w:sz w:val="22"/>
                <w:szCs w:val="22"/>
              </w:rPr>
              <w:t>рн.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% </w:t>
            </w:r>
          </w:p>
        </w:tc>
      </w:tr>
      <w:tr w:rsidR="00BB3B5C" w:rsidRPr="00BB3B5C" w:rsidTr="00BB3B5C">
        <w:trPr>
          <w:trHeight w:val="33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   2020 року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2020 року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2021 року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2021 року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</w:tr>
      <w:tr w:rsidR="00BB3B5C" w:rsidRPr="00BB3B5C" w:rsidTr="00BB3B5C">
        <w:trPr>
          <w:trHeight w:val="88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Сума </w:t>
            </w:r>
            <w:proofErr w:type="spellStart"/>
            <w:r w:rsidRPr="00BB3B5C">
              <w:rPr>
                <w:sz w:val="22"/>
                <w:szCs w:val="22"/>
              </w:rPr>
              <w:t>надходжень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від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сплати</w:t>
            </w:r>
            <w:proofErr w:type="spellEnd"/>
            <w:r w:rsidRPr="00BB3B5C">
              <w:rPr>
                <w:sz w:val="22"/>
                <w:szCs w:val="22"/>
              </w:rPr>
              <w:t xml:space="preserve"> за землю та </w:t>
            </w:r>
            <w:proofErr w:type="spellStart"/>
            <w:r w:rsidRPr="00BB3B5C">
              <w:rPr>
                <w:sz w:val="22"/>
                <w:szCs w:val="22"/>
              </w:rPr>
              <w:t>її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оренду</w:t>
            </w:r>
            <w:proofErr w:type="spellEnd"/>
            <w:r w:rsidRPr="00BB3B5C">
              <w:rPr>
                <w:sz w:val="22"/>
                <w:szCs w:val="22"/>
              </w:rPr>
              <w:t>,  тис</w:t>
            </w:r>
            <w:proofErr w:type="gramStart"/>
            <w:r w:rsidRPr="00BB3B5C">
              <w:rPr>
                <w:sz w:val="22"/>
                <w:szCs w:val="22"/>
              </w:rPr>
              <w:t>.</w:t>
            </w:r>
            <w:proofErr w:type="gramEnd"/>
            <w:r w:rsidRPr="00BB3B5C">
              <w:rPr>
                <w:sz w:val="22"/>
                <w:szCs w:val="22"/>
              </w:rPr>
              <w:t xml:space="preserve"> </w:t>
            </w:r>
            <w:proofErr w:type="gramStart"/>
            <w:r w:rsidRPr="00BB3B5C">
              <w:rPr>
                <w:sz w:val="22"/>
                <w:szCs w:val="22"/>
              </w:rPr>
              <w:t>г</w:t>
            </w:r>
            <w:proofErr w:type="gramEnd"/>
            <w:r w:rsidRPr="00BB3B5C">
              <w:rPr>
                <w:sz w:val="22"/>
                <w:szCs w:val="22"/>
              </w:rPr>
              <w:t>рн.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892,29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617,44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1 509,73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1 380,30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1 336,40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2 716,70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1 206,97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179,95</w:t>
            </w:r>
          </w:p>
        </w:tc>
      </w:tr>
    </w:tbl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визначення цілей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Регуляторний акт має достатньо високий ступінь досягнення визначених цілей, результати його реалізації мають позитивну динаміку, за звітний період простежується тенденція росту як планових так і фактичних показників надходжень податку до сільського бюджету та відповідно додаткового доходу.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10. Висновок </w:t>
      </w:r>
    </w:p>
    <w:p w:rsidR="00BB3B5C" w:rsidRPr="00BB3B5C" w:rsidRDefault="00363519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B3B5C" w:rsidRPr="00BB3B5C">
        <w:rPr>
          <w:sz w:val="28"/>
          <w:szCs w:val="28"/>
          <w:lang w:val="uk-UA"/>
        </w:rPr>
        <w:t xml:space="preserve">ішення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ради «Про встановлення ставок та пільг із сплати земельного податку на території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ради на 2021 рік» із змінами відповідає вимогам Податкового кодексу України та іншим вимогам чинного законодавства для забезпечення надходжень до бюджету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територіальної громади.</w:t>
      </w:r>
    </w:p>
    <w:p w:rsidR="00604AEA" w:rsidRDefault="00604AEA" w:rsidP="00604AEA">
      <w:pPr>
        <w:ind w:right="-284" w:firstLine="567"/>
        <w:jc w:val="both"/>
        <w:rPr>
          <w:sz w:val="28"/>
          <w:szCs w:val="28"/>
          <w:lang w:val="uk-UA"/>
        </w:rPr>
      </w:pPr>
    </w:p>
    <w:p w:rsidR="00604AEA" w:rsidRDefault="00604AEA" w:rsidP="00604AEA">
      <w:pPr>
        <w:ind w:right="-284" w:firstLine="567"/>
        <w:jc w:val="both"/>
        <w:rPr>
          <w:sz w:val="28"/>
          <w:szCs w:val="28"/>
          <w:lang w:val="uk-UA"/>
        </w:rPr>
      </w:pPr>
    </w:p>
    <w:p w:rsidR="00604AEA" w:rsidRDefault="00604AEA" w:rsidP="00604AEA">
      <w:pPr>
        <w:ind w:right="-284" w:firstLine="567"/>
        <w:jc w:val="both"/>
        <w:rPr>
          <w:sz w:val="28"/>
          <w:szCs w:val="28"/>
          <w:lang w:val="uk-UA"/>
        </w:rPr>
      </w:pPr>
    </w:p>
    <w:p w:rsidR="00604AEA" w:rsidRPr="00604AEA" w:rsidRDefault="00604AEA" w:rsidP="00604AEA">
      <w:pPr>
        <w:ind w:right="-284"/>
        <w:rPr>
          <w:sz w:val="28"/>
          <w:szCs w:val="28"/>
          <w:lang w:val="uk-UA"/>
        </w:rPr>
      </w:pPr>
      <w:r w:rsidRPr="00604AEA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 xml:space="preserve">                                                            Т.ДІБРОВА</w:t>
      </w:r>
    </w:p>
    <w:p w:rsidR="00604AEA" w:rsidRDefault="00604AEA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363519" w:rsidRDefault="00363519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363519" w:rsidRDefault="00363519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B9644C" w:rsidRDefault="00B9644C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363519" w:rsidRDefault="00363519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363519" w:rsidRDefault="00363519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9D2663" w:rsidRDefault="009D2663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9D2663" w:rsidRDefault="009D2663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9D2663" w:rsidRDefault="009D2663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9D2663" w:rsidRDefault="009D2663" w:rsidP="00BB3B5C">
      <w:pPr>
        <w:spacing w:before="120"/>
        <w:ind w:right="-284" w:firstLine="5670"/>
        <w:jc w:val="both"/>
        <w:rPr>
          <w:sz w:val="28"/>
          <w:szCs w:val="28"/>
          <w:lang w:val="uk-UA"/>
        </w:rPr>
      </w:pPr>
    </w:p>
    <w:p w:rsidR="00BB3B5C" w:rsidRPr="009D2663" w:rsidRDefault="00BB3B5C" w:rsidP="00BB3B5C">
      <w:pPr>
        <w:spacing w:before="120"/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lastRenderedPageBreak/>
        <w:t xml:space="preserve">Додаток 2 </w:t>
      </w:r>
    </w:p>
    <w:p w:rsidR="00BB3B5C" w:rsidRPr="009D2663" w:rsidRDefault="00BB3B5C" w:rsidP="00BB3B5C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Затверджено </w:t>
      </w:r>
    </w:p>
    <w:p w:rsidR="00BB3B5C" w:rsidRPr="009D2663" w:rsidRDefault="00BB3B5C" w:rsidP="00BB3B5C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рішенням сесії сільської ради </w:t>
      </w:r>
    </w:p>
    <w:p w:rsidR="00BB3B5C" w:rsidRPr="009D2663" w:rsidRDefault="005F45E6" w:rsidP="005F45E6">
      <w:pPr>
        <w:tabs>
          <w:tab w:val="left" w:pos="8222"/>
        </w:tabs>
        <w:ind w:right="-568" w:firstLine="5670"/>
        <w:jc w:val="both"/>
        <w:rPr>
          <w:sz w:val="22"/>
          <w:szCs w:val="22"/>
          <w:lang w:val="uk-UA"/>
        </w:rPr>
      </w:pPr>
      <w:r w:rsidRPr="009D2663">
        <w:rPr>
          <w:rFonts w:eastAsiaTheme="minorEastAsia"/>
          <w:sz w:val="22"/>
          <w:szCs w:val="22"/>
          <w:lang w:val="uk-UA" w:eastAsia="uk-UA"/>
        </w:rPr>
        <w:t>24 вересня 2021 року № 19-08/VIIІ</w:t>
      </w: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9644C" w:rsidP="00B964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б</w:t>
      </w:r>
      <w:r w:rsidR="00BB3B5C">
        <w:rPr>
          <w:b/>
          <w:sz w:val="28"/>
          <w:szCs w:val="28"/>
          <w:lang w:val="uk-UA"/>
        </w:rPr>
        <w:t xml:space="preserve">азове відстеження результативності регуляторного акта – рішення </w:t>
      </w:r>
      <w:proofErr w:type="spellStart"/>
      <w:r w:rsid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>
        <w:rPr>
          <w:b/>
          <w:sz w:val="28"/>
          <w:szCs w:val="28"/>
          <w:lang w:val="uk-UA"/>
        </w:rPr>
        <w:t xml:space="preserve"> сільської </w:t>
      </w:r>
      <w:r w:rsidR="00BB3B5C" w:rsidRPr="00BB3B5C">
        <w:rPr>
          <w:b/>
          <w:sz w:val="28"/>
          <w:szCs w:val="28"/>
          <w:lang w:val="uk-UA"/>
        </w:rPr>
        <w:t>ради</w:t>
      </w:r>
      <w:r w:rsidR="00BB3B5C">
        <w:rPr>
          <w:b/>
          <w:sz w:val="28"/>
          <w:szCs w:val="28"/>
          <w:lang w:val="uk-UA"/>
        </w:rPr>
        <w:t xml:space="preserve"> «Про встановлення ставок єдиного податку на території </w:t>
      </w:r>
      <w:proofErr w:type="spellStart"/>
      <w:r w:rsid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>
        <w:rPr>
          <w:b/>
          <w:sz w:val="28"/>
          <w:szCs w:val="28"/>
          <w:lang w:val="uk-UA"/>
        </w:rPr>
        <w:t xml:space="preserve"> сільської ради на 2021 рік»</w:t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Вид та назва регуляторного акта</w:t>
      </w:r>
    </w:p>
    <w:p w:rsidR="00BB3B5C" w:rsidRDefault="00BB3B5C" w:rsidP="00BB3B5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Білозірськ</w:t>
      </w:r>
      <w:r w:rsidR="00B9644C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 w:eastAsia="uk-UA"/>
        </w:rPr>
        <w:t>від 23 червня 2020 року № 107-4/</w:t>
      </w:r>
      <w:r>
        <w:rPr>
          <w:sz w:val="28"/>
          <w:szCs w:val="28"/>
          <w:lang w:eastAsia="uk-UA"/>
        </w:rPr>
        <w:t>V</w:t>
      </w:r>
      <w:r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eastAsia="uk-UA"/>
        </w:rPr>
        <w:t>I</w:t>
      </w:r>
      <w:r>
        <w:rPr>
          <w:sz w:val="28"/>
          <w:szCs w:val="28"/>
          <w:lang w:val="uk-UA" w:eastAsia="uk-UA"/>
        </w:rPr>
        <w:t xml:space="preserve"> «Про встановлення ставок єдиного податку на території </w:t>
      </w:r>
      <w:proofErr w:type="spellStart"/>
      <w:r>
        <w:rPr>
          <w:sz w:val="28"/>
          <w:szCs w:val="28"/>
          <w:lang w:val="uk-UA" w:eastAsia="uk-UA"/>
        </w:rPr>
        <w:t>Білозірської</w:t>
      </w:r>
      <w:proofErr w:type="spellEnd"/>
      <w:r>
        <w:rPr>
          <w:sz w:val="28"/>
          <w:szCs w:val="28"/>
          <w:lang w:val="uk-UA" w:eastAsia="uk-UA"/>
        </w:rPr>
        <w:t xml:space="preserve"> сільської ради на 2021 рік».</w:t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Назва виконавця заходів з відстеження результативності</w:t>
      </w:r>
    </w:p>
    <w:p w:rsidR="00363519" w:rsidRPr="00363519" w:rsidRDefault="00363519" w:rsidP="003635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63519">
        <w:rPr>
          <w:sz w:val="28"/>
          <w:szCs w:val="28"/>
          <w:lang w:val="uk-UA"/>
        </w:rPr>
        <w:t>обоч</w:t>
      </w:r>
      <w:r>
        <w:rPr>
          <w:sz w:val="28"/>
          <w:szCs w:val="28"/>
          <w:lang w:val="uk-UA"/>
        </w:rPr>
        <w:t>а</w:t>
      </w:r>
      <w:r w:rsidRPr="0036351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363519">
        <w:rPr>
          <w:sz w:val="28"/>
          <w:szCs w:val="28"/>
          <w:lang w:val="uk-UA"/>
        </w:rPr>
        <w:t xml:space="preserve"> з питань перегляду регуляторних актів</w:t>
      </w:r>
      <w:r w:rsidR="00B9644C">
        <w:rPr>
          <w:sz w:val="28"/>
          <w:szCs w:val="28"/>
          <w:lang w:val="uk-UA"/>
        </w:rPr>
        <w:t>.</w:t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Цілі прийняття акта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цілі прийняття даного регуляторного акта є: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чинного законодавства визначення у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сільській раді ставки єдиного податку щодо оподаткування суб’єктів підприємницької діяльності (далі – СПД) - фізичних осіб, які знаходяться на спрощеній системі оподаткування та сплачують єдиний податок за видами економічної діяльності з метою збалансування інтересів населення, суб’єктів господарської діяльності, органів влади та отримання додаткового обсягу надходжень до міського бюджету.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Строк виконання заходів результативності: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-ІІ квартал 2021 року.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Тип відстеження: </w:t>
      </w:r>
      <w:r>
        <w:rPr>
          <w:sz w:val="28"/>
          <w:szCs w:val="28"/>
          <w:lang w:val="uk-UA"/>
        </w:rPr>
        <w:t>Базове відстеження.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Метод одержання результатів відстеження - </w:t>
      </w:r>
      <w:r>
        <w:rPr>
          <w:sz w:val="28"/>
          <w:szCs w:val="28"/>
          <w:lang w:val="uk-UA"/>
        </w:rPr>
        <w:t>статистичний</w:t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Відстеження результативності регуляторного акта здійснювалося шляхом аналізу даних звітів фінансового відділу та постійного моніторингу за сплатою податку.</w:t>
      </w:r>
    </w:p>
    <w:p w:rsidR="00BB3B5C" w:rsidRDefault="00BB3B5C" w:rsidP="00BB3B5C">
      <w:pPr>
        <w:jc w:val="both"/>
        <w:rPr>
          <w:b/>
          <w:sz w:val="16"/>
          <w:szCs w:val="16"/>
          <w:lang w:val="uk-UA"/>
        </w:rPr>
      </w:pPr>
    </w:p>
    <w:p w:rsidR="00BB3B5C" w:rsidRDefault="00BB3B5C" w:rsidP="00BB3B5C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Кількісні та якісні значення показників результативності</w:t>
      </w:r>
    </w:p>
    <w:p w:rsidR="00BB3B5C" w:rsidRDefault="00BB3B5C" w:rsidP="00B9644C">
      <w:pPr>
        <w:jc w:val="both"/>
        <w:rPr>
          <w:sz w:val="16"/>
          <w:szCs w:val="16"/>
          <w:lang w:val="uk-UA"/>
        </w:rPr>
      </w:pPr>
      <w:r>
        <w:rPr>
          <w:iCs/>
          <w:sz w:val="28"/>
          <w:szCs w:val="28"/>
          <w:lang w:val="uk-UA"/>
        </w:rPr>
        <w:t>Аналіз результативності дії зазначеного рішення ради здійснюється за кількісними та якісними значеннями показників результативності акта.</w:t>
      </w:r>
    </w:p>
    <w:p w:rsidR="00BB3B5C" w:rsidRDefault="00BB3B5C" w:rsidP="00BB3B5C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Кількісні показники та якісні показники</w:t>
      </w:r>
    </w:p>
    <w:p w:rsidR="00BB3B5C" w:rsidRDefault="00BB3B5C" w:rsidP="00BB3B5C">
      <w:pPr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7A0BF58" wp14:editId="1CD988FC">
            <wp:extent cx="5936615" cy="13785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9.Оцінка результатів реалізації регуляторного акта та ступеня досягнення визначення цілей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Регуляторний акт має достатньо високий ступінь досягнення визначених цілей, результати його реалізації мають позитивну динаміку, за звітний період простежується тенденція росту як планових так і фактичних показників надходжень єдиного податку до міського бюджету та відповідно додаткового доходу.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Висновок </w:t>
      </w:r>
    </w:p>
    <w:p w:rsidR="00BB3B5C" w:rsidRDefault="00BB3B5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регуляторного акту є доцільним та ефективним заходом подальшого розвитку підприємницької діяльності, зростання кількості робочих місць, економічної стабільності в місті.</w:t>
      </w:r>
    </w:p>
    <w:p w:rsidR="00BB3B5C" w:rsidRDefault="00B9644C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B3B5C">
        <w:rPr>
          <w:sz w:val="28"/>
          <w:szCs w:val="28"/>
          <w:lang w:val="uk-UA"/>
        </w:rPr>
        <w:t xml:space="preserve">ішення </w:t>
      </w:r>
      <w:proofErr w:type="spellStart"/>
      <w:r w:rsidR="00BB3B5C">
        <w:rPr>
          <w:sz w:val="28"/>
          <w:szCs w:val="28"/>
          <w:lang w:val="uk-UA"/>
        </w:rPr>
        <w:t>Білозірської</w:t>
      </w:r>
      <w:proofErr w:type="spellEnd"/>
      <w:r w:rsidR="00BB3B5C">
        <w:rPr>
          <w:sz w:val="28"/>
          <w:szCs w:val="28"/>
          <w:lang w:val="uk-UA"/>
        </w:rPr>
        <w:t xml:space="preserve"> сільської ради «Про встановлення транспортного податку  на 2021 рік» відповідає вимогам Податкового кодексу України та іншим вимогам чинного законодавства для забезпечення надходжень до бюджету </w:t>
      </w:r>
      <w:proofErr w:type="spellStart"/>
      <w:r w:rsidR="00BB3B5C">
        <w:rPr>
          <w:sz w:val="28"/>
          <w:szCs w:val="28"/>
          <w:lang w:val="uk-UA"/>
        </w:rPr>
        <w:t>Білозірської</w:t>
      </w:r>
      <w:proofErr w:type="spellEnd"/>
      <w:r w:rsidR="00BB3B5C">
        <w:rPr>
          <w:sz w:val="28"/>
          <w:szCs w:val="28"/>
          <w:lang w:val="uk-UA"/>
        </w:rPr>
        <w:t xml:space="preserve"> сільської територіальної громади.</w:t>
      </w: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Pr="00604AEA" w:rsidRDefault="00BB3B5C" w:rsidP="00BB3B5C">
      <w:pPr>
        <w:ind w:right="-284"/>
        <w:rPr>
          <w:sz w:val="28"/>
          <w:szCs w:val="28"/>
          <w:lang w:val="uk-UA"/>
        </w:rPr>
      </w:pPr>
      <w:r w:rsidRPr="00604AEA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 xml:space="preserve">                                                            Т.ДІБРОВА</w:t>
      </w:r>
    </w:p>
    <w:p w:rsidR="00BB3B5C" w:rsidRDefault="00BB3B5C" w:rsidP="00BB3B5C">
      <w:pPr>
        <w:jc w:val="both"/>
        <w:rPr>
          <w:lang w:val="uk-UA"/>
        </w:rPr>
      </w:pPr>
    </w:p>
    <w:p w:rsidR="00BB3B5C" w:rsidRDefault="00BB3B5C" w:rsidP="00BB3B5C">
      <w:pPr>
        <w:jc w:val="both"/>
        <w:rPr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Default="005F45E6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0C508D" w:rsidRDefault="000C508D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9644C" w:rsidRDefault="00B9644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9D2663" w:rsidRDefault="009D2663" w:rsidP="00604AEA">
      <w:pPr>
        <w:ind w:right="-284"/>
        <w:jc w:val="both"/>
        <w:rPr>
          <w:sz w:val="28"/>
          <w:szCs w:val="28"/>
          <w:lang w:val="uk-UA"/>
        </w:rPr>
      </w:pPr>
    </w:p>
    <w:p w:rsidR="009D2663" w:rsidRDefault="009D2663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Pr="009D2663" w:rsidRDefault="00BB3B5C" w:rsidP="00BB3B5C">
      <w:pPr>
        <w:spacing w:before="120"/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lastRenderedPageBreak/>
        <w:t xml:space="preserve">Додаток 3 </w:t>
      </w:r>
    </w:p>
    <w:p w:rsidR="00BB3B5C" w:rsidRPr="009D2663" w:rsidRDefault="00BB3B5C" w:rsidP="00BB3B5C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Затверджено </w:t>
      </w:r>
    </w:p>
    <w:p w:rsidR="00BB3B5C" w:rsidRPr="009D2663" w:rsidRDefault="00BB3B5C" w:rsidP="00BB3B5C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рішенням сесії сільської ради </w:t>
      </w:r>
    </w:p>
    <w:p w:rsidR="00BB3B5C" w:rsidRDefault="005F45E6" w:rsidP="005F45E6">
      <w:pPr>
        <w:ind w:right="-568"/>
        <w:jc w:val="both"/>
        <w:rPr>
          <w:sz w:val="28"/>
          <w:szCs w:val="28"/>
          <w:lang w:val="uk-UA"/>
        </w:rPr>
      </w:pPr>
      <w:r w:rsidRPr="009D2663">
        <w:rPr>
          <w:sz w:val="22"/>
          <w:szCs w:val="22"/>
          <w:lang w:val="uk-UA"/>
        </w:rPr>
        <w:t xml:space="preserve">                                                                   </w:t>
      </w:r>
      <w:r w:rsidR="009D2663">
        <w:rPr>
          <w:sz w:val="22"/>
          <w:szCs w:val="22"/>
          <w:lang w:val="uk-UA"/>
        </w:rPr>
        <w:t xml:space="preserve">                           </w:t>
      </w:r>
      <w:r w:rsidRPr="009D2663">
        <w:rPr>
          <w:sz w:val="22"/>
          <w:szCs w:val="22"/>
          <w:lang w:val="uk-UA"/>
        </w:rPr>
        <w:t xml:space="preserve">         24 вересня 2021 року № 19-08/VIIІ</w:t>
      </w: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Pr="00BB3B5C" w:rsidRDefault="00432425" w:rsidP="00BB3B5C">
      <w:pPr>
        <w:jc w:val="center"/>
        <w:rPr>
          <w:b/>
          <w:sz w:val="28"/>
          <w:szCs w:val="28"/>
          <w:lang w:val="uk-UA"/>
        </w:rPr>
      </w:pPr>
      <w:r w:rsidRPr="00432425">
        <w:rPr>
          <w:b/>
          <w:sz w:val="28"/>
          <w:szCs w:val="28"/>
          <w:lang w:val="uk-UA"/>
        </w:rPr>
        <w:t>Звіт про базове</w:t>
      </w:r>
      <w:r w:rsidR="00BB3B5C" w:rsidRPr="00BB3B5C">
        <w:rPr>
          <w:b/>
          <w:sz w:val="28"/>
          <w:szCs w:val="28"/>
          <w:lang w:val="uk-UA"/>
        </w:rPr>
        <w:t xml:space="preserve"> відстеження результативності регуляторного акта – рішення </w:t>
      </w:r>
      <w:proofErr w:type="spellStart"/>
      <w:r w:rsidR="00BB3B5C" w:rsidRP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b/>
          <w:sz w:val="28"/>
          <w:szCs w:val="28"/>
          <w:lang w:val="uk-UA"/>
        </w:rPr>
        <w:t xml:space="preserve"> сільської ради «Про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BB3B5C" w:rsidRPr="00BB3B5C">
        <w:rPr>
          <w:b/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b/>
          <w:sz w:val="28"/>
          <w:szCs w:val="28"/>
          <w:lang w:val="uk-UA"/>
        </w:rPr>
        <w:t xml:space="preserve"> сільської ради на 2021 рік» із змінами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1. Вид та назва регуляторного акта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 xml:space="preserve">Рішення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 сільської ради від 23 червня 2020 </w:t>
      </w:r>
      <w:r w:rsidRPr="00BB3B5C">
        <w:rPr>
          <w:noProof/>
          <w:sz w:val="28"/>
          <w:szCs w:val="28"/>
          <w:lang w:val="uk-UA"/>
        </w:rPr>
        <w:t>року № 107-2/</w:t>
      </w:r>
      <w:r w:rsidRPr="00BB3B5C">
        <w:rPr>
          <w:noProof/>
          <w:sz w:val="28"/>
          <w:szCs w:val="28"/>
          <w:lang w:val="en-US"/>
        </w:rPr>
        <w:t>V</w:t>
      </w:r>
      <w:r w:rsidRPr="00BB3B5C">
        <w:rPr>
          <w:noProof/>
          <w:sz w:val="28"/>
          <w:szCs w:val="28"/>
          <w:lang w:val="uk-UA"/>
        </w:rPr>
        <w:t>І</w:t>
      </w:r>
      <w:r w:rsidRPr="00BB3B5C">
        <w:rPr>
          <w:noProof/>
          <w:sz w:val="28"/>
          <w:szCs w:val="28"/>
          <w:lang w:val="en-US"/>
        </w:rPr>
        <w:t>I</w:t>
      </w:r>
      <w:r w:rsidRPr="00BB3B5C">
        <w:rPr>
          <w:noProof/>
          <w:sz w:val="28"/>
          <w:szCs w:val="28"/>
          <w:lang w:val="uk-UA"/>
        </w:rPr>
        <w:t xml:space="preserve"> </w:t>
      </w:r>
      <w:r w:rsidRPr="00BB3B5C">
        <w:rPr>
          <w:sz w:val="28"/>
          <w:szCs w:val="28"/>
          <w:lang w:val="uk-UA"/>
        </w:rPr>
        <w:t xml:space="preserve">«Про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ради на 2021 рік» із змінами 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2. Назва виконавця заходів з відстеження результативності</w:t>
      </w:r>
    </w:p>
    <w:p w:rsidR="00432425" w:rsidRPr="00432425" w:rsidRDefault="00432425" w:rsidP="00432425">
      <w:pPr>
        <w:jc w:val="both"/>
        <w:rPr>
          <w:sz w:val="28"/>
          <w:szCs w:val="28"/>
          <w:lang w:val="uk-UA"/>
        </w:rPr>
      </w:pPr>
      <w:r w:rsidRPr="00432425">
        <w:rPr>
          <w:sz w:val="28"/>
          <w:szCs w:val="28"/>
          <w:lang w:val="uk-UA"/>
        </w:rPr>
        <w:t>Робоча комісія з питань перегляду регуляторних актів.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3. Цілі прийняття акта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Основні цілі прийняття даного регуляторного акта є:</w:t>
      </w:r>
    </w:p>
    <w:p w:rsidR="00BB3B5C" w:rsidRPr="00BB3B5C" w:rsidRDefault="00BB3B5C" w:rsidP="00BB3B5C">
      <w:pPr>
        <w:widowControl w:val="0"/>
        <w:numPr>
          <w:ilvl w:val="0"/>
          <w:numId w:val="8"/>
        </w:numPr>
        <w:suppressAutoHyphens/>
        <w:jc w:val="both"/>
        <w:rPr>
          <w:rFonts w:eastAsia="Droid Sans Fallback"/>
          <w:kern w:val="2"/>
          <w:sz w:val="28"/>
          <w:szCs w:val="28"/>
          <w:lang w:val="uk-UA" w:eastAsia="zh-CN" w:bidi="hi-IN"/>
        </w:rPr>
      </w:pPr>
      <w:r w:rsidRPr="00BB3B5C">
        <w:rPr>
          <w:rFonts w:eastAsia="Droid Sans Fallback"/>
          <w:kern w:val="2"/>
          <w:sz w:val="28"/>
          <w:szCs w:val="28"/>
          <w:lang w:val="uk-UA" w:eastAsia="zh-CN" w:bidi="hi-IN"/>
        </w:rPr>
        <w:t xml:space="preserve">виконання вимог Податкового кодексу України; </w:t>
      </w:r>
    </w:p>
    <w:p w:rsidR="00BB3B5C" w:rsidRPr="00BB3B5C" w:rsidRDefault="00BB3B5C" w:rsidP="00BB3B5C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забезпечення надходжень податку до місцевого бюджету від суб’єктів підприємницької діяльності та фізичних осіб.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4. Строк виконання заходів результативності: </w:t>
      </w:r>
      <w:r w:rsidRPr="00BB3B5C">
        <w:rPr>
          <w:sz w:val="28"/>
          <w:szCs w:val="28"/>
          <w:lang w:val="uk-UA"/>
        </w:rPr>
        <w:t>І-ІІ квартали 2021 року.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5. Тип відстеження: </w:t>
      </w:r>
      <w:r w:rsidRPr="00BB3B5C">
        <w:rPr>
          <w:sz w:val="28"/>
          <w:szCs w:val="28"/>
          <w:lang w:val="uk-UA"/>
        </w:rPr>
        <w:t>базове відстеження.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6. Метод одержання результатів відстеження - </w:t>
      </w:r>
      <w:r w:rsidRPr="00BB3B5C">
        <w:rPr>
          <w:sz w:val="28"/>
          <w:szCs w:val="28"/>
          <w:lang w:val="uk-UA"/>
        </w:rPr>
        <w:t>статистичний</w:t>
      </w: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>Відстеження результативності регуляторного акта здійснювалося шляхом аналізу даних звітів фінансового відділу , бухгалтерського обліку та звітності сільської ради .</w:t>
      </w:r>
    </w:p>
    <w:p w:rsidR="00BB3B5C" w:rsidRPr="00BB3B5C" w:rsidRDefault="00BB3B5C" w:rsidP="00BB3B5C">
      <w:pPr>
        <w:jc w:val="both"/>
        <w:rPr>
          <w:b/>
          <w:sz w:val="16"/>
          <w:szCs w:val="16"/>
          <w:lang w:val="uk-UA"/>
        </w:rPr>
      </w:pPr>
    </w:p>
    <w:p w:rsidR="00BB3B5C" w:rsidRPr="00BB3B5C" w:rsidRDefault="00BB3B5C" w:rsidP="00BB3B5C">
      <w:pPr>
        <w:ind w:left="360"/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8. Кількісні та якісні значення показників результативності</w:t>
      </w:r>
    </w:p>
    <w:p w:rsidR="00BB3B5C" w:rsidRPr="00BB3B5C" w:rsidRDefault="00BB3B5C" w:rsidP="00BB3B5C">
      <w:pPr>
        <w:ind w:left="360"/>
        <w:jc w:val="both"/>
        <w:rPr>
          <w:sz w:val="16"/>
          <w:szCs w:val="16"/>
          <w:lang w:val="uk-UA"/>
        </w:rPr>
      </w:pP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>Аналіз результативності дії зазначеного рішення ради здійснюється за кількісними та якісними значеннями показників результативності акта, основними серед яких є:</w:t>
      </w: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>1) загальна кількість платників:</w:t>
      </w: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>- кількість платників податку фізичних осіб;</w:t>
      </w: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 xml:space="preserve">- кількість платників податку юридичних осіб; </w:t>
      </w:r>
    </w:p>
    <w:p w:rsidR="00BB3B5C" w:rsidRPr="00BB3B5C" w:rsidRDefault="00BB3B5C" w:rsidP="00BB3B5C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>2) надходження податку до місцевого бюджету;</w:t>
      </w:r>
      <w:r w:rsidRPr="00BB3B5C">
        <w:rPr>
          <w:bCs/>
          <w:iCs/>
          <w:sz w:val="28"/>
          <w:szCs w:val="28"/>
          <w:lang w:val="uk-UA"/>
        </w:rPr>
        <w:t xml:space="preserve"> </w:t>
      </w: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 xml:space="preserve"> - обсяг надходжень  податку від фізичних осіб;</w:t>
      </w:r>
    </w:p>
    <w:p w:rsidR="00BB3B5C" w:rsidRPr="00BB3B5C" w:rsidRDefault="00BB3B5C" w:rsidP="00BB3B5C">
      <w:pPr>
        <w:ind w:firstLine="709"/>
        <w:jc w:val="both"/>
        <w:rPr>
          <w:iCs/>
          <w:sz w:val="28"/>
          <w:szCs w:val="28"/>
          <w:lang w:val="uk-UA"/>
        </w:rPr>
      </w:pPr>
      <w:r w:rsidRPr="00BB3B5C">
        <w:rPr>
          <w:iCs/>
          <w:sz w:val="28"/>
          <w:szCs w:val="28"/>
          <w:lang w:val="uk-UA"/>
        </w:rPr>
        <w:t xml:space="preserve"> - обсяг надходжень  податку від юридичних осіб; </w:t>
      </w:r>
    </w:p>
    <w:tbl>
      <w:tblPr>
        <w:tblpPr w:leftFromText="180" w:rightFromText="180" w:bottomFromText="200" w:vertAnchor="text" w:horzAnchor="margin" w:tblpY="111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2127"/>
        <w:gridCol w:w="1899"/>
      </w:tblGrid>
      <w:tr w:rsidR="00BB3B5C" w:rsidRPr="00BB3B5C" w:rsidTr="00BB3B5C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cs="Lohit Hindi"/>
                <w:lang w:val="uk-UA" w:eastAsia="en-US"/>
              </w:rPr>
            </w:pPr>
            <w:r w:rsidRPr="00BB3B5C">
              <w:rPr>
                <w:rFonts w:cs="Lohit Hindi"/>
                <w:lang w:val="uk-UA"/>
              </w:rPr>
              <w:t>Назва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cs="Lohit Hindi"/>
                <w:kern w:val="2"/>
                <w:lang w:val="uk-UA"/>
              </w:rPr>
            </w:pPr>
            <w:r w:rsidRPr="00BB3B5C">
              <w:rPr>
                <w:rFonts w:cs="Lohit Hindi"/>
                <w:lang w:val="uk-UA"/>
              </w:rPr>
              <w:t>І квартал 2020  року , тис. грн.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rFonts w:cs="Lohit Hindi"/>
                <w:kern w:val="2"/>
                <w:lang w:val="uk-UA"/>
              </w:rPr>
            </w:pPr>
            <w:r w:rsidRPr="00BB3B5C">
              <w:rPr>
                <w:rFonts w:cs="Lohit Hindi"/>
                <w:lang w:val="en-US"/>
              </w:rPr>
              <w:t>I</w:t>
            </w:r>
            <w:r w:rsidRPr="00BB3B5C">
              <w:rPr>
                <w:rFonts w:cs="Lohit Hindi"/>
                <w:lang w:val="uk-UA"/>
              </w:rPr>
              <w:t>І квартал 2020 року, тис. грн.</w:t>
            </w:r>
          </w:p>
        </w:tc>
      </w:tr>
      <w:tr w:rsidR="00BB3B5C" w:rsidRPr="00BB3B5C" w:rsidTr="00BB3B5C">
        <w:trPr>
          <w:trHeight w:val="5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5C" w:rsidRPr="00BB3B5C" w:rsidRDefault="00BB3B5C" w:rsidP="00BB3B5C">
            <w:pPr>
              <w:jc w:val="both"/>
              <w:rPr>
                <w:bCs/>
                <w:lang w:val="uk-UA" w:eastAsia="en-US"/>
              </w:rPr>
            </w:pPr>
            <w:proofErr w:type="spellStart"/>
            <w:r w:rsidRPr="00BB3B5C">
              <w:rPr>
                <w:bCs/>
                <w:lang w:val="uk-UA"/>
              </w:rPr>
              <w:t>Нараховано</w:t>
            </w:r>
            <w:proofErr w:type="spellEnd"/>
            <w:r w:rsidRPr="00BB3B5C">
              <w:rPr>
                <w:bCs/>
                <w:lang w:val="uk-UA"/>
              </w:rPr>
              <w:t xml:space="preserve"> плати з юридичних осіб (</w:t>
            </w:r>
            <w:proofErr w:type="spellStart"/>
            <w:r w:rsidRPr="00BB3B5C">
              <w:rPr>
                <w:bCs/>
                <w:lang w:val="uk-UA"/>
              </w:rPr>
              <w:t>тис.грн</w:t>
            </w:r>
            <w:proofErr w:type="spellEnd"/>
            <w:r w:rsidRPr="00BB3B5C">
              <w:rPr>
                <w:bCs/>
                <w:lang w:val="uk-UA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 w:eastAsia="en-US"/>
              </w:rPr>
            </w:pPr>
            <w:r w:rsidRPr="00BB3B5C">
              <w:rPr>
                <w:lang w:val="uk-UA" w:eastAsia="en-US"/>
              </w:rPr>
              <w:t>197,08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C" w:rsidRPr="00BB3B5C" w:rsidRDefault="00BB3B5C" w:rsidP="00BB3B5C">
            <w:pPr>
              <w:jc w:val="center"/>
              <w:rPr>
                <w:lang w:val="uk-UA" w:eastAsia="en-US"/>
              </w:rPr>
            </w:pPr>
            <w:r w:rsidRPr="00BB3B5C">
              <w:rPr>
                <w:lang w:val="uk-UA" w:eastAsia="en-US"/>
              </w:rPr>
              <w:t>247,61</w:t>
            </w:r>
          </w:p>
          <w:p w:rsidR="00BB3B5C" w:rsidRPr="00BB3B5C" w:rsidRDefault="00BB3B5C" w:rsidP="00BB3B5C">
            <w:pPr>
              <w:jc w:val="center"/>
              <w:rPr>
                <w:lang w:val="uk-UA" w:eastAsia="en-US"/>
              </w:rPr>
            </w:pPr>
          </w:p>
        </w:tc>
      </w:tr>
      <w:tr w:rsidR="00BB3B5C" w:rsidRPr="00BB3B5C" w:rsidTr="00BB3B5C">
        <w:trPr>
          <w:trHeight w:val="6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bCs/>
                <w:lang w:val="uk-UA" w:eastAsia="en-US"/>
              </w:rPr>
            </w:pPr>
            <w:proofErr w:type="spellStart"/>
            <w:r w:rsidRPr="00BB3B5C">
              <w:rPr>
                <w:bCs/>
                <w:lang w:val="uk-UA"/>
              </w:rPr>
              <w:lastRenderedPageBreak/>
              <w:t>Нараховано</w:t>
            </w:r>
            <w:proofErr w:type="spellEnd"/>
            <w:r w:rsidRPr="00BB3B5C">
              <w:rPr>
                <w:bCs/>
                <w:lang w:val="uk-UA"/>
              </w:rPr>
              <w:t xml:space="preserve"> плати з фізичних осіб (</w:t>
            </w:r>
            <w:proofErr w:type="spellStart"/>
            <w:r w:rsidRPr="00BB3B5C">
              <w:rPr>
                <w:bCs/>
                <w:lang w:val="uk-UA"/>
              </w:rPr>
              <w:t>тис.грн</w:t>
            </w:r>
            <w:proofErr w:type="spellEnd"/>
            <w:r w:rsidRPr="00BB3B5C">
              <w:rPr>
                <w:bCs/>
                <w:lang w:val="uk-UA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 w:eastAsia="en-US"/>
              </w:rPr>
            </w:pPr>
            <w:r w:rsidRPr="00BB3B5C">
              <w:rPr>
                <w:lang w:val="uk-UA" w:eastAsia="en-US"/>
              </w:rPr>
              <w:t>8,95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 w:eastAsia="en-US"/>
              </w:rPr>
            </w:pPr>
            <w:r w:rsidRPr="00BB3B5C">
              <w:rPr>
                <w:lang w:val="uk-UA" w:eastAsia="en-US"/>
              </w:rPr>
              <w:t>43,0</w:t>
            </w:r>
          </w:p>
        </w:tc>
      </w:tr>
      <w:tr w:rsidR="00BB3B5C" w:rsidRPr="00BB3B5C" w:rsidTr="00BB3B5C">
        <w:trPr>
          <w:trHeight w:val="5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5C" w:rsidRPr="00BB3B5C" w:rsidRDefault="00BB3B5C" w:rsidP="00BB3B5C">
            <w:pPr>
              <w:jc w:val="both"/>
              <w:rPr>
                <w:bCs/>
                <w:lang w:val="uk-UA"/>
              </w:rPr>
            </w:pPr>
            <w:r w:rsidRPr="00BB3B5C">
              <w:rPr>
                <w:iCs/>
                <w:lang w:val="uk-UA"/>
              </w:rPr>
              <w:t>Кількість платників податку фізичних осіб, (</w:t>
            </w:r>
            <w:proofErr w:type="spellStart"/>
            <w:r w:rsidRPr="00BB3B5C">
              <w:rPr>
                <w:iCs/>
                <w:lang w:val="uk-UA"/>
              </w:rPr>
              <w:t>осіб</w:t>
            </w:r>
            <w:proofErr w:type="spellEnd"/>
            <w:r w:rsidRPr="00BB3B5C">
              <w:rPr>
                <w:i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12</w:t>
            </w:r>
          </w:p>
        </w:tc>
      </w:tr>
      <w:tr w:rsidR="00BB3B5C" w:rsidRPr="00BB3B5C" w:rsidTr="00BB3B5C">
        <w:trPr>
          <w:trHeight w:val="6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5C" w:rsidRPr="00BB3B5C" w:rsidRDefault="00BB3B5C" w:rsidP="00BB3B5C">
            <w:pPr>
              <w:jc w:val="both"/>
              <w:rPr>
                <w:bCs/>
                <w:lang w:val="uk-UA"/>
              </w:rPr>
            </w:pPr>
            <w:r w:rsidRPr="00BB3B5C">
              <w:rPr>
                <w:iCs/>
                <w:lang w:val="uk-UA"/>
              </w:rPr>
              <w:t>Кількість платників податку юридичних осіб, (</w:t>
            </w:r>
            <w:proofErr w:type="spellStart"/>
            <w:r w:rsidRPr="00BB3B5C">
              <w:rPr>
                <w:iCs/>
                <w:lang w:val="uk-UA"/>
              </w:rPr>
              <w:t>осіб</w:t>
            </w:r>
            <w:proofErr w:type="spellEnd"/>
            <w:r w:rsidRPr="00BB3B5C">
              <w:rPr>
                <w:iCs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lang w:val="uk-UA"/>
              </w:rPr>
            </w:pPr>
            <w:r w:rsidRPr="00BB3B5C">
              <w:rPr>
                <w:lang w:val="uk-UA"/>
              </w:rPr>
              <w:t>16</w:t>
            </w:r>
          </w:p>
        </w:tc>
      </w:tr>
    </w:tbl>
    <w:p w:rsidR="00BB3B5C" w:rsidRPr="00BB3B5C" w:rsidRDefault="00BB3B5C" w:rsidP="00BB3B5C">
      <w:pPr>
        <w:rPr>
          <w:vanish/>
        </w:rPr>
      </w:pPr>
    </w:p>
    <w:tbl>
      <w:tblPr>
        <w:tblW w:w="95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7"/>
        <w:gridCol w:w="936"/>
        <w:gridCol w:w="938"/>
        <w:gridCol w:w="1070"/>
        <w:gridCol w:w="1070"/>
        <w:gridCol w:w="937"/>
        <w:gridCol w:w="937"/>
        <w:gridCol w:w="828"/>
        <w:gridCol w:w="813"/>
      </w:tblGrid>
      <w:tr w:rsidR="00BB3B5C" w:rsidRPr="00BB3B5C" w:rsidTr="00E41BA7">
        <w:trPr>
          <w:trHeight w:val="1053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Назва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показника</w:t>
            </w:r>
            <w:proofErr w:type="spellEnd"/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Попередній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2020 року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Звітний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2021 року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B3B5C">
              <w:rPr>
                <w:b/>
                <w:bCs/>
                <w:sz w:val="22"/>
                <w:szCs w:val="22"/>
              </w:rPr>
              <w:t>Прирі</w:t>
            </w:r>
            <w:proofErr w:type="gramStart"/>
            <w:r w:rsidRPr="00BB3B5C">
              <w:rPr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звітного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періоду</w:t>
            </w:r>
            <w:proofErr w:type="spellEnd"/>
            <w:r w:rsidRPr="00BB3B5C">
              <w:rPr>
                <w:b/>
                <w:bCs/>
                <w:sz w:val="22"/>
                <w:szCs w:val="22"/>
              </w:rPr>
              <w:t xml:space="preserve"> до </w:t>
            </w:r>
            <w:proofErr w:type="spellStart"/>
            <w:r w:rsidRPr="00BB3B5C">
              <w:rPr>
                <w:b/>
                <w:bCs/>
                <w:sz w:val="22"/>
                <w:szCs w:val="22"/>
              </w:rPr>
              <w:t>попереднього</w:t>
            </w:r>
            <w:proofErr w:type="spellEnd"/>
          </w:p>
        </w:tc>
      </w:tr>
      <w:tr w:rsidR="00E41BA7" w:rsidRPr="00BB3B5C" w:rsidTr="00E41BA7">
        <w:trPr>
          <w:trHeight w:val="518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І квартал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IІ квартал 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Разом </w:t>
            </w:r>
            <w:proofErr w:type="gramStart"/>
            <w:r w:rsidRPr="00BB3B5C">
              <w:rPr>
                <w:sz w:val="22"/>
                <w:szCs w:val="22"/>
              </w:rPr>
              <w:t>за</w:t>
            </w:r>
            <w:proofErr w:type="gramEnd"/>
            <w:r w:rsidRPr="00BB3B5C">
              <w:rPr>
                <w:sz w:val="22"/>
                <w:szCs w:val="22"/>
              </w:rPr>
              <w:t xml:space="preserve">  </w:t>
            </w:r>
            <w:proofErr w:type="spellStart"/>
            <w:r w:rsidRPr="00BB3B5C">
              <w:rPr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І квартал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IІ квартал 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Разом </w:t>
            </w:r>
            <w:proofErr w:type="gramStart"/>
            <w:r w:rsidRPr="00BB3B5C">
              <w:rPr>
                <w:sz w:val="22"/>
                <w:szCs w:val="22"/>
              </w:rPr>
              <w:t>за</w:t>
            </w:r>
            <w:proofErr w:type="gramEnd"/>
            <w:r w:rsidRPr="00BB3B5C">
              <w:rPr>
                <w:sz w:val="22"/>
                <w:szCs w:val="22"/>
              </w:rPr>
              <w:t xml:space="preserve">  </w:t>
            </w:r>
            <w:proofErr w:type="spellStart"/>
            <w:r w:rsidRPr="00BB3B5C">
              <w:rPr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тис</w:t>
            </w:r>
            <w:proofErr w:type="gramStart"/>
            <w:r w:rsidRPr="00BB3B5C">
              <w:rPr>
                <w:sz w:val="22"/>
                <w:szCs w:val="22"/>
              </w:rPr>
              <w:t>.</w:t>
            </w:r>
            <w:proofErr w:type="gramEnd"/>
            <w:r w:rsidRPr="00BB3B5C">
              <w:rPr>
                <w:sz w:val="22"/>
                <w:szCs w:val="22"/>
              </w:rPr>
              <w:t xml:space="preserve"> </w:t>
            </w:r>
            <w:proofErr w:type="gramStart"/>
            <w:r w:rsidRPr="00BB3B5C">
              <w:rPr>
                <w:sz w:val="22"/>
                <w:szCs w:val="22"/>
              </w:rPr>
              <w:t>г</w:t>
            </w:r>
            <w:proofErr w:type="gramEnd"/>
            <w:r w:rsidRPr="00BB3B5C">
              <w:rPr>
                <w:sz w:val="22"/>
                <w:szCs w:val="22"/>
              </w:rPr>
              <w:t>рн.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% </w:t>
            </w:r>
          </w:p>
        </w:tc>
      </w:tr>
      <w:tr w:rsidR="00E41BA7" w:rsidRPr="00BB3B5C" w:rsidTr="00E41BA7">
        <w:trPr>
          <w:trHeight w:val="356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   2020 року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   2020 року 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2021 року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2021 року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5C" w:rsidRPr="00BB3B5C" w:rsidRDefault="00BB3B5C" w:rsidP="00BB3B5C">
            <w:pPr>
              <w:rPr>
                <w:sz w:val="22"/>
                <w:szCs w:val="22"/>
              </w:rPr>
            </w:pPr>
          </w:p>
        </w:tc>
      </w:tr>
      <w:tr w:rsidR="00E41BA7" w:rsidRPr="00BB3B5C" w:rsidTr="00E41BA7">
        <w:trPr>
          <w:trHeight w:val="1171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 xml:space="preserve">Сума </w:t>
            </w:r>
            <w:proofErr w:type="spellStart"/>
            <w:r w:rsidRPr="00BB3B5C">
              <w:rPr>
                <w:sz w:val="22"/>
                <w:szCs w:val="22"/>
              </w:rPr>
              <w:t>надходжень</w:t>
            </w:r>
            <w:proofErr w:type="spellEnd"/>
            <w:r w:rsidRPr="00BB3B5C">
              <w:rPr>
                <w:sz w:val="22"/>
                <w:szCs w:val="22"/>
              </w:rPr>
              <w:t xml:space="preserve">  </w:t>
            </w:r>
            <w:proofErr w:type="spellStart"/>
            <w:r w:rsidRPr="00BB3B5C">
              <w:rPr>
                <w:sz w:val="22"/>
                <w:szCs w:val="22"/>
              </w:rPr>
              <w:t>від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сплати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податку</w:t>
            </w:r>
            <w:proofErr w:type="spellEnd"/>
            <w:r w:rsidRPr="00BB3B5C">
              <w:rPr>
                <w:sz w:val="22"/>
                <w:szCs w:val="22"/>
              </w:rPr>
              <w:t xml:space="preserve"> на </w:t>
            </w:r>
            <w:proofErr w:type="spellStart"/>
            <w:r w:rsidRPr="00BB3B5C">
              <w:rPr>
                <w:sz w:val="22"/>
                <w:szCs w:val="22"/>
              </w:rPr>
              <w:t>нерухоме</w:t>
            </w:r>
            <w:proofErr w:type="spellEnd"/>
            <w:r w:rsidRPr="00BB3B5C">
              <w:rPr>
                <w:sz w:val="22"/>
                <w:szCs w:val="22"/>
              </w:rPr>
              <w:t xml:space="preserve"> </w:t>
            </w:r>
            <w:proofErr w:type="spellStart"/>
            <w:r w:rsidRPr="00BB3B5C">
              <w:rPr>
                <w:sz w:val="22"/>
                <w:szCs w:val="22"/>
              </w:rPr>
              <w:t>майно</w:t>
            </w:r>
            <w:proofErr w:type="spellEnd"/>
            <w:r w:rsidRPr="00BB3B5C">
              <w:rPr>
                <w:sz w:val="22"/>
                <w:szCs w:val="22"/>
              </w:rPr>
              <w:t>,       тис</w:t>
            </w:r>
            <w:proofErr w:type="gramStart"/>
            <w:r w:rsidRPr="00BB3B5C">
              <w:rPr>
                <w:sz w:val="22"/>
                <w:szCs w:val="22"/>
              </w:rPr>
              <w:t>.</w:t>
            </w:r>
            <w:proofErr w:type="gramEnd"/>
            <w:r w:rsidRPr="00BB3B5C">
              <w:rPr>
                <w:sz w:val="22"/>
                <w:szCs w:val="22"/>
              </w:rPr>
              <w:t xml:space="preserve"> </w:t>
            </w:r>
            <w:proofErr w:type="gramStart"/>
            <w:r w:rsidRPr="00BB3B5C">
              <w:rPr>
                <w:sz w:val="22"/>
                <w:szCs w:val="22"/>
              </w:rPr>
              <w:t>г</w:t>
            </w:r>
            <w:proofErr w:type="gramEnd"/>
            <w:r w:rsidRPr="00BB3B5C">
              <w:rPr>
                <w:sz w:val="22"/>
                <w:szCs w:val="22"/>
              </w:rPr>
              <w:t>рн.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506,59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192,91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699,50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206,02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290,61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496,63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-202,87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B5C" w:rsidRPr="00BB3B5C" w:rsidRDefault="00BB3B5C" w:rsidP="00BB3B5C">
            <w:pPr>
              <w:jc w:val="center"/>
              <w:rPr>
                <w:sz w:val="22"/>
                <w:szCs w:val="22"/>
              </w:rPr>
            </w:pPr>
            <w:r w:rsidRPr="00BB3B5C">
              <w:rPr>
                <w:sz w:val="22"/>
                <w:szCs w:val="22"/>
              </w:rPr>
              <w:t>71,00</w:t>
            </w:r>
          </w:p>
        </w:tc>
      </w:tr>
    </w:tbl>
    <w:p w:rsidR="00BB3B5C" w:rsidRPr="00BB3B5C" w:rsidRDefault="00BB3B5C" w:rsidP="00BB3B5C">
      <w:pPr>
        <w:ind w:left="360"/>
        <w:jc w:val="both"/>
        <w:rPr>
          <w:sz w:val="26"/>
          <w:szCs w:val="26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визначення цілей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  <w:r w:rsidRPr="00BB3B5C">
        <w:rPr>
          <w:sz w:val="28"/>
          <w:szCs w:val="28"/>
          <w:lang w:val="uk-UA"/>
        </w:rPr>
        <w:t xml:space="preserve">Регуляторний акт має достатньо високий ступінь досягнення визначених цілей, результати його реалізації мають позитивну динаміку, за звітний період простежується тенденція росту як планових так і фактичних показників надходжень податку до бюджету  </w:t>
      </w:r>
      <w:proofErr w:type="spellStart"/>
      <w:r w:rsidRPr="00BB3B5C">
        <w:rPr>
          <w:sz w:val="28"/>
          <w:szCs w:val="28"/>
          <w:lang w:val="uk-UA"/>
        </w:rPr>
        <w:t>Білозірської</w:t>
      </w:r>
      <w:proofErr w:type="spellEnd"/>
      <w:r w:rsidRPr="00BB3B5C">
        <w:rPr>
          <w:sz w:val="28"/>
          <w:szCs w:val="28"/>
          <w:lang w:val="uk-UA"/>
        </w:rPr>
        <w:t xml:space="preserve"> сільської ТГ та відповідно додаткового доходу.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  <w:r w:rsidRPr="00BB3B5C">
        <w:rPr>
          <w:b/>
          <w:sz w:val="28"/>
          <w:szCs w:val="28"/>
          <w:lang w:val="uk-UA"/>
        </w:rPr>
        <w:t xml:space="preserve">10. Висновок </w:t>
      </w:r>
    </w:p>
    <w:p w:rsidR="00BB3B5C" w:rsidRPr="00BB3B5C" w:rsidRDefault="000C508D" w:rsidP="00BB3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B3B5C" w:rsidRPr="00BB3B5C">
        <w:rPr>
          <w:sz w:val="28"/>
          <w:szCs w:val="28"/>
          <w:lang w:val="uk-UA"/>
        </w:rPr>
        <w:t xml:space="preserve">ішення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ради «Про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ради на 2021 рік» із змінами відповідає вимогам Податкового кодексу України та іншим вимогам чинного законодавства для забезпечення надходжень до бюджету </w:t>
      </w:r>
      <w:proofErr w:type="spellStart"/>
      <w:r w:rsidR="00BB3B5C" w:rsidRPr="00BB3B5C">
        <w:rPr>
          <w:sz w:val="28"/>
          <w:szCs w:val="28"/>
          <w:lang w:val="uk-UA"/>
        </w:rPr>
        <w:t>Білозірської</w:t>
      </w:r>
      <w:proofErr w:type="spellEnd"/>
      <w:r w:rsidR="00BB3B5C" w:rsidRPr="00BB3B5C">
        <w:rPr>
          <w:sz w:val="28"/>
          <w:szCs w:val="28"/>
          <w:lang w:val="uk-UA"/>
        </w:rPr>
        <w:t xml:space="preserve"> сільської територіальної громади.</w:t>
      </w:r>
    </w:p>
    <w:p w:rsidR="00BB3B5C" w:rsidRPr="00BB3B5C" w:rsidRDefault="00BB3B5C" w:rsidP="00BB3B5C">
      <w:pPr>
        <w:jc w:val="both"/>
        <w:rPr>
          <w:sz w:val="28"/>
          <w:szCs w:val="28"/>
          <w:lang w:val="uk-UA"/>
        </w:rPr>
      </w:pPr>
    </w:p>
    <w:p w:rsidR="00BB3B5C" w:rsidRPr="00BB3B5C" w:rsidRDefault="00BB3B5C" w:rsidP="00BB3B5C">
      <w:pPr>
        <w:jc w:val="both"/>
        <w:rPr>
          <w:b/>
          <w:sz w:val="28"/>
          <w:szCs w:val="28"/>
          <w:lang w:val="uk-UA"/>
        </w:rPr>
      </w:pPr>
    </w:p>
    <w:p w:rsidR="00E41BA7" w:rsidRDefault="00E41BA7" w:rsidP="00E41BA7">
      <w:pPr>
        <w:jc w:val="both"/>
        <w:rPr>
          <w:b/>
          <w:sz w:val="28"/>
          <w:szCs w:val="28"/>
          <w:lang w:val="uk-UA"/>
        </w:rPr>
      </w:pPr>
    </w:p>
    <w:p w:rsidR="00E41BA7" w:rsidRPr="00604AEA" w:rsidRDefault="00E41BA7" w:rsidP="00E41BA7">
      <w:pPr>
        <w:ind w:right="-284"/>
        <w:rPr>
          <w:sz w:val="28"/>
          <w:szCs w:val="28"/>
          <w:lang w:val="uk-UA"/>
        </w:rPr>
      </w:pPr>
      <w:r w:rsidRPr="00604AEA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 xml:space="preserve">                                                            Т.ДІБРОВА</w:t>
      </w:r>
    </w:p>
    <w:p w:rsidR="00BB3B5C" w:rsidRPr="00BB3B5C" w:rsidRDefault="00BB3B5C" w:rsidP="00BB3B5C">
      <w:pPr>
        <w:jc w:val="both"/>
        <w:rPr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0C508D" w:rsidRDefault="000C508D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9D2663" w:rsidRDefault="009D2663" w:rsidP="00604AEA">
      <w:pPr>
        <w:ind w:right="-284"/>
        <w:jc w:val="both"/>
        <w:rPr>
          <w:sz w:val="28"/>
          <w:szCs w:val="28"/>
          <w:lang w:val="uk-UA"/>
        </w:rPr>
      </w:pPr>
    </w:p>
    <w:p w:rsidR="009D2663" w:rsidRDefault="009D2663" w:rsidP="00604AEA">
      <w:pPr>
        <w:ind w:right="-284"/>
        <w:jc w:val="both"/>
        <w:rPr>
          <w:sz w:val="28"/>
          <w:szCs w:val="28"/>
          <w:lang w:val="uk-UA"/>
        </w:rPr>
      </w:pPr>
    </w:p>
    <w:p w:rsidR="005F45E6" w:rsidRPr="009D2663" w:rsidRDefault="005F45E6" w:rsidP="005F45E6">
      <w:pPr>
        <w:spacing w:before="120"/>
        <w:ind w:right="-284" w:firstLine="5670"/>
        <w:jc w:val="both"/>
        <w:rPr>
          <w:sz w:val="22"/>
          <w:szCs w:val="22"/>
          <w:lang w:val="uk-UA"/>
        </w:rPr>
      </w:pPr>
      <w:bookmarkStart w:id="0" w:name="_GoBack"/>
      <w:bookmarkEnd w:id="0"/>
      <w:r w:rsidRPr="009D2663">
        <w:rPr>
          <w:sz w:val="22"/>
          <w:szCs w:val="22"/>
          <w:lang w:val="uk-UA"/>
        </w:rPr>
        <w:lastRenderedPageBreak/>
        <w:t xml:space="preserve">Додаток 4 </w:t>
      </w:r>
    </w:p>
    <w:p w:rsidR="005F45E6" w:rsidRPr="009D2663" w:rsidRDefault="005F45E6" w:rsidP="005F45E6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Затверджено </w:t>
      </w:r>
    </w:p>
    <w:p w:rsidR="005F45E6" w:rsidRPr="009D2663" w:rsidRDefault="005F45E6" w:rsidP="005F45E6">
      <w:pPr>
        <w:tabs>
          <w:tab w:val="left" w:pos="8222"/>
        </w:tabs>
        <w:ind w:right="-284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 xml:space="preserve">рішенням сесії сільської ради </w:t>
      </w:r>
    </w:p>
    <w:p w:rsidR="005F45E6" w:rsidRPr="009D2663" w:rsidRDefault="005F45E6" w:rsidP="005F45E6">
      <w:pPr>
        <w:tabs>
          <w:tab w:val="left" w:pos="8222"/>
        </w:tabs>
        <w:ind w:right="-568" w:firstLine="5670"/>
        <w:jc w:val="both"/>
        <w:rPr>
          <w:sz w:val="22"/>
          <w:szCs w:val="22"/>
          <w:lang w:val="uk-UA"/>
        </w:rPr>
      </w:pPr>
      <w:r w:rsidRPr="009D2663">
        <w:rPr>
          <w:sz w:val="22"/>
          <w:szCs w:val="22"/>
          <w:lang w:val="uk-UA"/>
        </w:rPr>
        <w:t>24 вересня 2021 року № 19-08/VIIІ</w:t>
      </w:r>
    </w:p>
    <w:p w:rsidR="005F45E6" w:rsidRDefault="005F45E6" w:rsidP="005F45E6">
      <w:pPr>
        <w:tabs>
          <w:tab w:val="left" w:pos="8222"/>
        </w:tabs>
        <w:ind w:right="-568" w:firstLine="5670"/>
        <w:jc w:val="both"/>
        <w:rPr>
          <w:sz w:val="28"/>
          <w:szCs w:val="28"/>
          <w:lang w:val="uk-UA"/>
        </w:rPr>
      </w:pPr>
    </w:p>
    <w:p w:rsidR="005F45E6" w:rsidRPr="00AB57E0" w:rsidRDefault="005F45E6" w:rsidP="005F45E6">
      <w:pPr>
        <w:tabs>
          <w:tab w:val="left" w:pos="8222"/>
        </w:tabs>
        <w:ind w:right="-568" w:firstLine="5670"/>
        <w:jc w:val="both"/>
        <w:rPr>
          <w:sz w:val="28"/>
          <w:szCs w:val="28"/>
          <w:lang w:val="uk-UA"/>
        </w:rPr>
      </w:pPr>
    </w:p>
    <w:p w:rsidR="005F45E6" w:rsidRDefault="005F45E6" w:rsidP="005F45E6">
      <w:pPr>
        <w:ind w:right="-284"/>
        <w:jc w:val="both"/>
        <w:rPr>
          <w:sz w:val="28"/>
          <w:szCs w:val="28"/>
          <w:lang w:val="uk-UA"/>
        </w:rPr>
      </w:pPr>
    </w:p>
    <w:p w:rsidR="005F45E6" w:rsidRDefault="00432425" w:rsidP="00432425">
      <w:pPr>
        <w:jc w:val="center"/>
        <w:rPr>
          <w:b/>
          <w:sz w:val="28"/>
          <w:szCs w:val="28"/>
          <w:lang w:val="uk-UA"/>
        </w:rPr>
      </w:pPr>
      <w:r w:rsidRPr="00432425">
        <w:rPr>
          <w:b/>
          <w:sz w:val="28"/>
          <w:szCs w:val="28"/>
          <w:lang w:val="uk-UA"/>
        </w:rPr>
        <w:t>Звіт про базове</w:t>
      </w:r>
      <w:r w:rsidR="005F45E6">
        <w:rPr>
          <w:b/>
          <w:sz w:val="28"/>
          <w:szCs w:val="28"/>
          <w:lang w:val="uk-UA"/>
        </w:rPr>
        <w:t xml:space="preserve"> відстеження результативності регуляторного акта – рішення </w:t>
      </w:r>
      <w:proofErr w:type="spellStart"/>
      <w:r w:rsidR="005F45E6">
        <w:rPr>
          <w:b/>
          <w:sz w:val="28"/>
          <w:szCs w:val="28"/>
          <w:lang w:val="uk-UA"/>
        </w:rPr>
        <w:t>Білозірської</w:t>
      </w:r>
      <w:proofErr w:type="spellEnd"/>
      <w:r w:rsidR="005F45E6">
        <w:rPr>
          <w:b/>
          <w:sz w:val="28"/>
          <w:szCs w:val="28"/>
          <w:lang w:val="uk-UA"/>
        </w:rPr>
        <w:t xml:space="preserve"> сільської ради  «Про встановлення ставок на транспортний податок, туристичний збір та збір за місця для паркування транспортних засобів на території </w:t>
      </w:r>
      <w:proofErr w:type="spellStart"/>
      <w:r w:rsidR="005F45E6">
        <w:rPr>
          <w:b/>
          <w:sz w:val="28"/>
          <w:szCs w:val="28"/>
          <w:lang w:val="uk-UA"/>
        </w:rPr>
        <w:t>Білозірської</w:t>
      </w:r>
      <w:proofErr w:type="spellEnd"/>
      <w:r w:rsidR="005F45E6">
        <w:rPr>
          <w:b/>
          <w:sz w:val="28"/>
          <w:szCs w:val="28"/>
          <w:lang w:val="uk-UA"/>
        </w:rPr>
        <w:t xml:space="preserve"> сільської ради на 2021 рік»</w:t>
      </w: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Вид та назва регуляторного акта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сільської ради від 23 червня 2020 </w:t>
      </w:r>
      <w:r>
        <w:rPr>
          <w:noProof/>
          <w:sz w:val="28"/>
          <w:szCs w:val="28"/>
          <w:lang w:val="uk-UA"/>
        </w:rPr>
        <w:t>року № 107-3/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en-US"/>
        </w:rPr>
        <w:t>I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встановлення ставок на транспортний податок, туристичний збір та збір за місця для паркування транспортних засобів на території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сільської ради на 2021 рік» </w:t>
      </w: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Назва виконавця заходів з відстеження результативності</w:t>
      </w:r>
    </w:p>
    <w:p w:rsidR="00432425" w:rsidRPr="00432425" w:rsidRDefault="00432425" w:rsidP="00432425">
      <w:pPr>
        <w:jc w:val="both"/>
        <w:rPr>
          <w:sz w:val="28"/>
          <w:szCs w:val="28"/>
          <w:lang w:val="uk-UA"/>
        </w:rPr>
      </w:pPr>
      <w:r w:rsidRPr="00432425">
        <w:rPr>
          <w:sz w:val="28"/>
          <w:szCs w:val="28"/>
          <w:lang w:val="uk-UA"/>
        </w:rPr>
        <w:t>Робоча комісія з питань перегляду регуляторних актів.</w:t>
      </w: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Цілі прийняття акта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цілі прийняття даного регуляторного акта є:</w:t>
      </w:r>
    </w:p>
    <w:p w:rsidR="005F45E6" w:rsidRDefault="005F45E6" w:rsidP="005F45E6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вимог Податкового кодексу України; </w:t>
      </w:r>
    </w:p>
    <w:p w:rsidR="005F45E6" w:rsidRDefault="005F45E6" w:rsidP="005F45E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надходжень податку до місцевого бюджету від суб’єктів підприємницької діяльності та фізичних осіб.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Строк виконання заходів результативності: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-ІІ</w:t>
      </w:r>
      <w:r w:rsidRPr="005F45E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квартали  2021 року.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Тип відстеження: </w:t>
      </w:r>
      <w:r>
        <w:rPr>
          <w:sz w:val="28"/>
          <w:szCs w:val="28"/>
          <w:lang w:val="uk-UA"/>
        </w:rPr>
        <w:t>базове відстеження.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Метод одержання результатів відстеження - </w:t>
      </w:r>
      <w:r>
        <w:rPr>
          <w:sz w:val="28"/>
          <w:szCs w:val="28"/>
          <w:lang w:val="uk-UA"/>
        </w:rPr>
        <w:t>статистичний</w:t>
      </w: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Відстеження результативності регуляторного акта здійснювалося шляхом аналізу даних звітів фінансового відділу , бухгалтерського обліку та звітності сільської ради .</w:t>
      </w:r>
    </w:p>
    <w:p w:rsidR="005F45E6" w:rsidRDefault="005F45E6" w:rsidP="005F45E6">
      <w:pPr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>. Кількісні та якісні значення показників результативності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Аналіз результативності дії зазначеного рішення ради здійснюється за кількісними та якісними значеннями показників результативності акта, основними серед яких є: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І. сплата </w:t>
      </w:r>
      <w:r>
        <w:rPr>
          <w:b/>
          <w:color w:val="000000"/>
          <w:sz w:val="28"/>
          <w:szCs w:val="28"/>
          <w:lang w:val="uk-UA"/>
        </w:rPr>
        <w:t>транспортного податку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1) загальна кількість платників: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- кількість платників податку фізичних осіб;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- кількість платників податку юридичних осіб; </w:t>
      </w:r>
    </w:p>
    <w:p w:rsidR="005F45E6" w:rsidRDefault="005F45E6" w:rsidP="005F45E6">
      <w:pPr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2) надходження податку до місцевого бюджету;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- обсяг надходжень  податку від фізичних осіб;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- обсяг надходжень  податку від юридичних осіб; </w:t>
      </w:r>
    </w:p>
    <w:p w:rsidR="000C508D" w:rsidRDefault="000C508D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Y="1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355"/>
        <w:gridCol w:w="1899"/>
      </w:tblGrid>
      <w:tr w:rsidR="005F45E6" w:rsidTr="005F45E6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lang w:val="uk-UA" w:eastAsia="en-US"/>
              </w:rPr>
            </w:pPr>
            <w:proofErr w:type="spellStart"/>
            <w:r>
              <w:rPr>
                <w:rStyle w:val="21"/>
                <w:rFonts w:cs="Lohit Hindi"/>
                <w:color w:val="000000"/>
              </w:rPr>
              <w:t>Назва</w:t>
            </w:r>
            <w:proofErr w:type="spellEnd"/>
            <w:r>
              <w:rPr>
                <w:rStyle w:val="21"/>
                <w:rFonts w:cs="Lohit Hindi"/>
                <w:color w:val="000000"/>
              </w:rPr>
              <w:t xml:space="preserve"> </w:t>
            </w:r>
            <w:proofErr w:type="spellStart"/>
            <w:r>
              <w:rPr>
                <w:rStyle w:val="21"/>
                <w:rFonts w:cs="Lohit Hindi"/>
                <w:color w:val="000000"/>
              </w:rPr>
              <w:t>показника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</w:rPr>
              <w:t xml:space="preserve">І квартал 2021 року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  <w:lang w:val="en-US"/>
              </w:rPr>
              <w:t>I</w:t>
            </w:r>
            <w:r>
              <w:rPr>
                <w:rStyle w:val="21"/>
                <w:rFonts w:cs="Lohit Hindi"/>
                <w:color w:val="000000"/>
              </w:rPr>
              <w:t xml:space="preserve">І квартал 2021 </w:t>
            </w:r>
            <w:r>
              <w:rPr>
                <w:rStyle w:val="21"/>
                <w:rFonts w:cs="Lohit Hindi"/>
                <w:color w:val="000000"/>
              </w:rPr>
              <w:lastRenderedPageBreak/>
              <w:t>року</w:t>
            </w:r>
          </w:p>
        </w:tc>
      </w:tr>
      <w:tr w:rsidR="005F45E6" w:rsidTr="005F45E6">
        <w:trPr>
          <w:trHeight w:val="5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jc w:val="both"/>
              <w:rPr>
                <w:bCs/>
                <w:color w:val="000000"/>
                <w:lang w:val="uk-UA" w:eastAsia="en-US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lastRenderedPageBreak/>
              <w:t>Нараховано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плати з юридичних осіб (</w:t>
            </w:r>
            <w:proofErr w:type="spellStart"/>
            <w:r>
              <w:rPr>
                <w:bCs/>
                <w:color w:val="00000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lang w:val="uk-UA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</w:tr>
      <w:tr w:rsidR="005F45E6" w:rsidTr="005F45E6">
        <w:trPr>
          <w:trHeight w:val="6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rPr>
                <w:bCs/>
                <w:color w:val="000000"/>
                <w:lang w:val="uk-UA" w:eastAsia="en-US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Нараховано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плати з фізичних осіб (</w:t>
            </w:r>
            <w:proofErr w:type="spellStart"/>
            <w:r>
              <w:rPr>
                <w:bCs/>
                <w:color w:val="00000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lang w:val="uk-UA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</w:t>
            </w:r>
          </w:p>
        </w:tc>
      </w:tr>
      <w:tr w:rsidR="005F45E6" w:rsidTr="005F45E6">
        <w:trPr>
          <w:trHeight w:val="7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Загальна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кількість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платників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gramStart"/>
            <w:r>
              <w:rPr>
                <w:iCs/>
                <w:color w:val="000000"/>
              </w:rPr>
              <w:t>транспортного</w:t>
            </w:r>
            <w:proofErr w:type="gram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податку</w:t>
            </w:r>
            <w:proofErr w:type="spellEnd"/>
            <w:r>
              <w:rPr>
                <w:iCs/>
                <w:color w:val="000000"/>
              </w:rPr>
              <w:t xml:space="preserve"> - </w:t>
            </w:r>
            <w:proofErr w:type="spellStart"/>
            <w:r>
              <w:rPr>
                <w:iCs/>
                <w:color w:val="000000"/>
              </w:rPr>
              <w:t>юридичних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  <w:lang w:val="uk-UA"/>
              </w:rPr>
              <w:t>,</w:t>
            </w:r>
            <w:r>
              <w:rPr>
                <w:iCs/>
                <w:color w:val="000000"/>
              </w:rPr>
              <w:t xml:space="preserve"> (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</w:tr>
      <w:tr w:rsidR="005F45E6" w:rsidTr="005F45E6">
        <w:trPr>
          <w:trHeight w:val="8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Загальна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кількість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платників</w:t>
            </w:r>
            <w:proofErr w:type="spellEnd"/>
            <w:r>
              <w:rPr>
                <w:iCs/>
                <w:color w:val="000000"/>
              </w:rPr>
              <w:t xml:space="preserve"> транспортного </w:t>
            </w:r>
            <w:proofErr w:type="spellStart"/>
            <w:r>
              <w:rPr>
                <w:iCs/>
                <w:color w:val="000000"/>
              </w:rPr>
              <w:t>податку</w:t>
            </w:r>
            <w:proofErr w:type="spellEnd"/>
            <w:r>
              <w:rPr>
                <w:iCs/>
                <w:color w:val="000000"/>
              </w:rPr>
              <w:t xml:space="preserve"> – </w:t>
            </w:r>
            <w:proofErr w:type="spellStart"/>
            <w:r>
              <w:rPr>
                <w:iCs/>
                <w:color w:val="000000"/>
              </w:rPr>
              <w:t>фізичних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proofErr w:type="gramStart"/>
            <w:r>
              <w:rPr>
                <w:iCs/>
                <w:color w:val="000000"/>
                <w:lang w:val="uk-UA"/>
              </w:rPr>
              <w:t>,</w:t>
            </w:r>
            <w:r>
              <w:rPr>
                <w:iCs/>
                <w:color w:val="000000"/>
              </w:rPr>
              <w:t>(</w:t>
            </w:r>
            <w:proofErr w:type="spellStart"/>
            <w:proofErr w:type="gramEnd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</w:t>
            </w:r>
          </w:p>
        </w:tc>
      </w:tr>
    </w:tbl>
    <w:p w:rsidR="005F45E6" w:rsidRDefault="005F45E6" w:rsidP="005F45E6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Сплата туристичного збору 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1) загальна кількість платників: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- кількість платників податку фізичних осіб;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- кількість платників податку юридичних осіб; </w:t>
      </w:r>
    </w:p>
    <w:p w:rsidR="005F45E6" w:rsidRDefault="005F45E6" w:rsidP="005F45E6">
      <w:pPr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2) надходження податку до місцевого бюджету;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- обсяг надходжень  податку від фізичних осіб;</w:t>
      </w:r>
    </w:p>
    <w:p w:rsidR="005F45E6" w:rsidRDefault="005F45E6" w:rsidP="005F45E6">
      <w:pPr>
        <w:ind w:left="360"/>
        <w:jc w:val="both"/>
        <w:rPr>
          <w:color w:val="000000"/>
          <w:sz w:val="26"/>
          <w:szCs w:val="26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- обсяг надходжень  податку від юридичних осіб</w:t>
      </w:r>
    </w:p>
    <w:tbl>
      <w:tblPr>
        <w:tblpPr w:leftFromText="180" w:rightFromText="180" w:bottomFromText="200" w:vertAnchor="text" w:horzAnchor="margin" w:tblpY="1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355"/>
        <w:gridCol w:w="1899"/>
      </w:tblGrid>
      <w:tr w:rsidR="005F45E6" w:rsidTr="005F45E6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lang w:val="uk-UA" w:eastAsia="en-US"/>
              </w:rPr>
            </w:pPr>
            <w:proofErr w:type="spellStart"/>
            <w:r>
              <w:rPr>
                <w:rStyle w:val="21"/>
                <w:rFonts w:cs="Lohit Hindi"/>
                <w:color w:val="000000"/>
              </w:rPr>
              <w:t>Назва</w:t>
            </w:r>
            <w:proofErr w:type="spellEnd"/>
            <w:r>
              <w:rPr>
                <w:rStyle w:val="21"/>
                <w:rFonts w:cs="Lohit Hindi"/>
                <w:color w:val="000000"/>
              </w:rPr>
              <w:t xml:space="preserve"> </w:t>
            </w:r>
            <w:proofErr w:type="spellStart"/>
            <w:r>
              <w:rPr>
                <w:rStyle w:val="21"/>
                <w:rFonts w:cs="Lohit Hindi"/>
                <w:color w:val="000000"/>
              </w:rPr>
              <w:t>показника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</w:rPr>
              <w:t xml:space="preserve">І квартал 2021 року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  <w:lang w:val="en-US"/>
              </w:rPr>
              <w:t>I</w:t>
            </w:r>
            <w:r>
              <w:rPr>
                <w:rStyle w:val="21"/>
                <w:rFonts w:cs="Lohit Hindi"/>
                <w:color w:val="000000"/>
              </w:rPr>
              <w:t>І квартал 2021 року</w:t>
            </w:r>
          </w:p>
        </w:tc>
      </w:tr>
      <w:tr w:rsidR="005F45E6" w:rsidTr="005F45E6">
        <w:trPr>
          <w:trHeight w:val="6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rPr>
                <w:bCs/>
                <w:color w:val="000000"/>
                <w:lang w:val="uk-UA" w:eastAsia="en-US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Нараховано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плати з фізичних осіб (</w:t>
            </w:r>
            <w:proofErr w:type="spellStart"/>
            <w:r>
              <w:rPr>
                <w:bCs/>
                <w:color w:val="00000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lang w:val="uk-UA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0,0</w:t>
            </w:r>
          </w:p>
        </w:tc>
      </w:tr>
      <w:tr w:rsidR="005F45E6" w:rsidTr="005F45E6">
        <w:trPr>
          <w:trHeight w:val="8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Загальна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кількість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платників</w:t>
            </w:r>
            <w:proofErr w:type="spellEnd"/>
            <w:r>
              <w:rPr>
                <w:iCs/>
                <w:color w:val="000000"/>
              </w:rPr>
              <w:t xml:space="preserve"> транспортного </w:t>
            </w:r>
            <w:proofErr w:type="spellStart"/>
            <w:r>
              <w:rPr>
                <w:iCs/>
                <w:color w:val="000000"/>
              </w:rPr>
              <w:t>податку</w:t>
            </w:r>
            <w:proofErr w:type="spellEnd"/>
            <w:r>
              <w:rPr>
                <w:iCs/>
                <w:color w:val="000000"/>
              </w:rPr>
              <w:t xml:space="preserve"> – </w:t>
            </w:r>
            <w:proofErr w:type="spellStart"/>
            <w:r>
              <w:rPr>
                <w:iCs/>
                <w:color w:val="000000"/>
              </w:rPr>
              <w:t>фізичних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proofErr w:type="gramStart"/>
            <w:r>
              <w:rPr>
                <w:iCs/>
                <w:color w:val="000000"/>
                <w:lang w:val="uk-UA"/>
              </w:rPr>
              <w:t>,</w:t>
            </w:r>
            <w:r>
              <w:rPr>
                <w:iCs/>
                <w:color w:val="000000"/>
              </w:rPr>
              <w:t>(</w:t>
            </w:r>
            <w:proofErr w:type="spellStart"/>
            <w:proofErr w:type="gramEnd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</w:t>
            </w:r>
          </w:p>
        </w:tc>
      </w:tr>
    </w:tbl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ІІІ. Сплата  збору за місця для паркування транспортних засобів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1) загальна кількість платників: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- кількість платників податку фізичних осіб;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- кількість платників податку юридичних осіб; </w:t>
      </w:r>
    </w:p>
    <w:p w:rsidR="005F45E6" w:rsidRDefault="005F45E6" w:rsidP="005F45E6">
      <w:pPr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2) надходження податку до місцевого бюджету;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- обсяг надходжень  податку від фізичних осіб;</w:t>
      </w:r>
    </w:p>
    <w:p w:rsidR="005F45E6" w:rsidRDefault="005F45E6" w:rsidP="005F45E6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- обсяг надходжень  податку від юридичних осіб; </w:t>
      </w:r>
    </w:p>
    <w:tbl>
      <w:tblPr>
        <w:tblpPr w:leftFromText="180" w:rightFromText="180" w:bottomFromText="200" w:vertAnchor="text" w:horzAnchor="margin" w:tblpY="1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2355"/>
        <w:gridCol w:w="1899"/>
      </w:tblGrid>
      <w:tr w:rsidR="005F45E6" w:rsidTr="005F45E6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lang w:val="uk-UA" w:eastAsia="en-US"/>
              </w:rPr>
            </w:pPr>
            <w:proofErr w:type="spellStart"/>
            <w:r>
              <w:rPr>
                <w:rStyle w:val="21"/>
                <w:rFonts w:cs="Lohit Hindi"/>
                <w:color w:val="000000"/>
              </w:rPr>
              <w:t>Назва</w:t>
            </w:r>
            <w:proofErr w:type="spellEnd"/>
            <w:r>
              <w:rPr>
                <w:rStyle w:val="21"/>
                <w:rFonts w:cs="Lohit Hindi"/>
                <w:color w:val="000000"/>
              </w:rPr>
              <w:t xml:space="preserve"> </w:t>
            </w:r>
            <w:proofErr w:type="spellStart"/>
            <w:r>
              <w:rPr>
                <w:rStyle w:val="21"/>
                <w:rFonts w:cs="Lohit Hindi"/>
                <w:color w:val="000000"/>
              </w:rPr>
              <w:t>показника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</w:rPr>
              <w:t xml:space="preserve">І квартал 2021 року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rFonts w:cs="Lohit Hindi"/>
                <w:color w:val="000000"/>
                <w:kern w:val="2"/>
                <w:lang w:val="uk-UA"/>
              </w:rPr>
            </w:pPr>
            <w:r>
              <w:rPr>
                <w:rStyle w:val="21"/>
                <w:rFonts w:cs="Lohit Hindi"/>
                <w:color w:val="000000"/>
                <w:lang w:val="en-US"/>
              </w:rPr>
              <w:t>I</w:t>
            </w:r>
            <w:r>
              <w:rPr>
                <w:rStyle w:val="21"/>
                <w:rFonts w:cs="Lohit Hindi"/>
                <w:color w:val="000000"/>
              </w:rPr>
              <w:t>І квартал 2021року</w:t>
            </w:r>
          </w:p>
        </w:tc>
      </w:tr>
      <w:tr w:rsidR="005F45E6" w:rsidTr="005F45E6">
        <w:trPr>
          <w:trHeight w:val="5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jc w:val="both"/>
              <w:rPr>
                <w:bCs/>
                <w:color w:val="000000"/>
                <w:lang w:val="uk-UA" w:eastAsia="en-US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Нараховано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плати з юридичних осіб (</w:t>
            </w:r>
            <w:proofErr w:type="spellStart"/>
            <w:r>
              <w:rPr>
                <w:bCs/>
                <w:color w:val="00000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lang w:val="uk-UA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</w:tr>
      <w:tr w:rsidR="005F45E6" w:rsidTr="005F45E6">
        <w:trPr>
          <w:trHeight w:val="6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rPr>
                <w:bCs/>
                <w:color w:val="000000"/>
                <w:lang w:val="uk-UA" w:eastAsia="en-US"/>
              </w:rPr>
            </w:pPr>
            <w:proofErr w:type="spellStart"/>
            <w:r>
              <w:rPr>
                <w:bCs/>
                <w:color w:val="000000"/>
                <w:lang w:val="uk-UA"/>
              </w:rPr>
              <w:t>Нараховано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плати з фізичних осіб (</w:t>
            </w:r>
            <w:proofErr w:type="spellStart"/>
            <w:r>
              <w:rPr>
                <w:bCs/>
                <w:color w:val="00000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lang w:val="uk-UA"/>
              </w:rPr>
              <w:t>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</w:t>
            </w:r>
          </w:p>
        </w:tc>
      </w:tr>
      <w:tr w:rsidR="005F45E6" w:rsidTr="005F45E6">
        <w:trPr>
          <w:trHeight w:val="7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Загальна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кількість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платників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gramStart"/>
            <w:r>
              <w:rPr>
                <w:iCs/>
                <w:color w:val="000000"/>
              </w:rPr>
              <w:t>транспортного</w:t>
            </w:r>
            <w:proofErr w:type="gram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податку</w:t>
            </w:r>
            <w:proofErr w:type="spellEnd"/>
            <w:r>
              <w:rPr>
                <w:iCs/>
                <w:color w:val="000000"/>
              </w:rPr>
              <w:t xml:space="preserve"> - </w:t>
            </w:r>
            <w:proofErr w:type="spellStart"/>
            <w:r>
              <w:rPr>
                <w:iCs/>
                <w:color w:val="000000"/>
              </w:rPr>
              <w:t>юридичних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  <w:lang w:val="uk-UA"/>
              </w:rPr>
              <w:t>,</w:t>
            </w:r>
            <w:r>
              <w:rPr>
                <w:iCs/>
                <w:color w:val="000000"/>
              </w:rPr>
              <w:t xml:space="preserve"> (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</w:tr>
      <w:tr w:rsidR="005F45E6" w:rsidTr="005F45E6">
        <w:trPr>
          <w:trHeight w:val="8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E6" w:rsidRDefault="005F45E6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Загальна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кількість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платників</w:t>
            </w:r>
            <w:proofErr w:type="spellEnd"/>
            <w:r>
              <w:rPr>
                <w:iCs/>
                <w:color w:val="000000"/>
              </w:rPr>
              <w:t xml:space="preserve"> транспортного </w:t>
            </w:r>
            <w:proofErr w:type="spellStart"/>
            <w:r>
              <w:rPr>
                <w:iCs/>
                <w:color w:val="000000"/>
              </w:rPr>
              <w:t>податку</w:t>
            </w:r>
            <w:proofErr w:type="spellEnd"/>
            <w:r>
              <w:rPr>
                <w:iCs/>
                <w:color w:val="000000"/>
              </w:rPr>
              <w:t xml:space="preserve"> – </w:t>
            </w:r>
            <w:proofErr w:type="spellStart"/>
            <w:r>
              <w:rPr>
                <w:iCs/>
                <w:color w:val="000000"/>
              </w:rPr>
              <w:t>фізичних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осіб</w:t>
            </w:r>
            <w:proofErr w:type="spellEnd"/>
            <w:proofErr w:type="gramStart"/>
            <w:r>
              <w:rPr>
                <w:iCs/>
                <w:color w:val="000000"/>
                <w:lang w:val="uk-UA"/>
              </w:rPr>
              <w:t>,</w:t>
            </w:r>
            <w:r>
              <w:rPr>
                <w:iCs/>
                <w:color w:val="000000"/>
              </w:rPr>
              <w:t>(</w:t>
            </w:r>
            <w:proofErr w:type="spellStart"/>
            <w:proofErr w:type="gramEnd"/>
            <w:r>
              <w:rPr>
                <w:iCs/>
                <w:color w:val="000000"/>
              </w:rPr>
              <w:t>осіб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rStyle w:val="21"/>
                <w:color w:val="000000"/>
                <w:lang w:val="uk-UA" w:eastAsia="en-US"/>
              </w:rPr>
            </w:pPr>
            <w:r>
              <w:rPr>
                <w:rStyle w:val="21"/>
                <w:color w:val="000000"/>
                <w:lang w:eastAsia="en-US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E6" w:rsidRDefault="005F45E6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</w:t>
            </w:r>
          </w:p>
        </w:tc>
      </w:tr>
    </w:tbl>
    <w:p w:rsidR="005F45E6" w:rsidRDefault="005F45E6" w:rsidP="005F45E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визначення цілей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Регуляторний акт не має жодного ступеню досягнення визначених цілей, результати його реалізації не мають ніякої динаміки, за звітний період простежується тенденція відсутності як планових так і фактичних показників надходжень податку до бюджету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та відповідно додаткового доходу.</w:t>
      </w:r>
    </w:p>
    <w:p w:rsidR="005F45E6" w:rsidRDefault="005F45E6" w:rsidP="005F4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Висновок </w:t>
      </w:r>
    </w:p>
    <w:p w:rsidR="005F45E6" w:rsidRDefault="000C508D" w:rsidP="005F4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F45E6">
        <w:rPr>
          <w:sz w:val="28"/>
          <w:szCs w:val="28"/>
          <w:lang w:val="uk-UA"/>
        </w:rPr>
        <w:t xml:space="preserve">ішення </w:t>
      </w:r>
      <w:proofErr w:type="spellStart"/>
      <w:r w:rsidR="005F45E6">
        <w:rPr>
          <w:sz w:val="28"/>
          <w:szCs w:val="28"/>
          <w:lang w:val="uk-UA"/>
        </w:rPr>
        <w:t>Білозірської</w:t>
      </w:r>
      <w:proofErr w:type="spellEnd"/>
      <w:r w:rsidR="005F45E6">
        <w:rPr>
          <w:sz w:val="28"/>
          <w:szCs w:val="28"/>
          <w:lang w:val="uk-UA"/>
        </w:rPr>
        <w:t xml:space="preserve"> сільської ради «Про встановлення транспортного податку  на 2021 рік» відповідає вимогам Податкового кодексу України та іншим вимогам чинного законодавства для забезпечення надходжень до сільського бюджету.</w:t>
      </w:r>
    </w:p>
    <w:p w:rsidR="005F45E6" w:rsidRDefault="005F45E6" w:rsidP="005F45E6">
      <w:pPr>
        <w:jc w:val="both"/>
        <w:rPr>
          <w:sz w:val="28"/>
          <w:szCs w:val="28"/>
          <w:lang w:val="uk-UA"/>
        </w:rPr>
      </w:pPr>
    </w:p>
    <w:p w:rsidR="005F45E6" w:rsidRDefault="005F45E6" w:rsidP="005F45E6">
      <w:pPr>
        <w:jc w:val="both"/>
        <w:rPr>
          <w:sz w:val="28"/>
          <w:szCs w:val="28"/>
          <w:lang w:val="uk-UA"/>
        </w:rPr>
      </w:pP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6057"/>
        <w:gridCol w:w="3258"/>
      </w:tblGrid>
      <w:tr w:rsidR="005F45E6" w:rsidTr="005F45E6">
        <w:tc>
          <w:tcPr>
            <w:tcW w:w="6057" w:type="dxa"/>
            <w:vAlign w:val="center"/>
          </w:tcPr>
          <w:p w:rsidR="005F45E6" w:rsidRDefault="005F45E6">
            <w:pPr>
              <w:ind w:right="-28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8" w:type="dxa"/>
            <w:vAlign w:val="center"/>
          </w:tcPr>
          <w:p w:rsidR="005F45E6" w:rsidRDefault="005F45E6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F45E6" w:rsidRPr="000C508D" w:rsidRDefault="005F45E6" w:rsidP="005F45E6">
      <w:pPr>
        <w:jc w:val="both"/>
        <w:rPr>
          <w:sz w:val="28"/>
          <w:szCs w:val="28"/>
          <w:lang w:val="uk-UA"/>
        </w:rPr>
      </w:pPr>
      <w:r w:rsidRPr="000C508D">
        <w:rPr>
          <w:sz w:val="28"/>
          <w:szCs w:val="28"/>
          <w:lang w:val="uk-UA"/>
        </w:rPr>
        <w:t>Секретар сільської ради                                                             Т.ДІБРОВА</w:t>
      </w:r>
    </w:p>
    <w:p w:rsidR="005F45E6" w:rsidRPr="005F45E6" w:rsidRDefault="005F45E6" w:rsidP="005F45E6">
      <w:pPr>
        <w:jc w:val="both"/>
        <w:rPr>
          <w:lang w:val="uk-UA"/>
        </w:rPr>
      </w:pPr>
    </w:p>
    <w:p w:rsidR="005F45E6" w:rsidRDefault="005F45E6" w:rsidP="005F45E6">
      <w:pPr>
        <w:jc w:val="both"/>
        <w:rPr>
          <w:lang w:val="uk-UA"/>
        </w:rPr>
      </w:pPr>
    </w:p>
    <w:p w:rsidR="00BB3B5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p w:rsidR="00BB3B5C" w:rsidRPr="009208AC" w:rsidRDefault="00BB3B5C" w:rsidP="00604AEA">
      <w:pPr>
        <w:ind w:right="-284"/>
        <w:jc w:val="both"/>
        <w:rPr>
          <w:sz w:val="28"/>
          <w:szCs w:val="28"/>
          <w:lang w:val="uk-UA"/>
        </w:rPr>
      </w:pPr>
    </w:p>
    <w:sectPr w:rsidR="00BB3B5C" w:rsidRPr="009208AC" w:rsidSect="00A61B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E2"/>
    <w:multiLevelType w:val="multilevel"/>
    <w:tmpl w:val="A80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F3396"/>
    <w:multiLevelType w:val="hybridMultilevel"/>
    <w:tmpl w:val="3B9AD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D32BFF"/>
    <w:multiLevelType w:val="hybridMultilevel"/>
    <w:tmpl w:val="3B9ADE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CF2FE7"/>
    <w:multiLevelType w:val="hybridMultilevel"/>
    <w:tmpl w:val="40660772"/>
    <w:lvl w:ilvl="0" w:tplc="977C0F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3F9"/>
    <w:multiLevelType w:val="hybridMultilevel"/>
    <w:tmpl w:val="E4E6E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2396C"/>
    <w:multiLevelType w:val="multilevel"/>
    <w:tmpl w:val="59766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05F38"/>
    <w:multiLevelType w:val="multilevel"/>
    <w:tmpl w:val="5C769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1773D"/>
    <w:multiLevelType w:val="hybridMultilevel"/>
    <w:tmpl w:val="9260D358"/>
    <w:lvl w:ilvl="0" w:tplc="756630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2F"/>
    <w:rsid w:val="000A31FB"/>
    <w:rsid w:val="000C508D"/>
    <w:rsid w:val="000C5D32"/>
    <w:rsid w:val="0025104B"/>
    <w:rsid w:val="002721D8"/>
    <w:rsid w:val="00363519"/>
    <w:rsid w:val="003B5D12"/>
    <w:rsid w:val="00405924"/>
    <w:rsid w:val="004234D8"/>
    <w:rsid w:val="00432425"/>
    <w:rsid w:val="00471E4C"/>
    <w:rsid w:val="00497CF9"/>
    <w:rsid w:val="004F01E9"/>
    <w:rsid w:val="00532629"/>
    <w:rsid w:val="005601FD"/>
    <w:rsid w:val="0056311A"/>
    <w:rsid w:val="005D45E2"/>
    <w:rsid w:val="005F35BF"/>
    <w:rsid w:val="005F45E6"/>
    <w:rsid w:val="00604AEA"/>
    <w:rsid w:val="006B2FDF"/>
    <w:rsid w:val="006E7096"/>
    <w:rsid w:val="006F6AAC"/>
    <w:rsid w:val="00730D06"/>
    <w:rsid w:val="00772DCB"/>
    <w:rsid w:val="0079264B"/>
    <w:rsid w:val="007A3F07"/>
    <w:rsid w:val="00850E84"/>
    <w:rsid w:val="00863D17"/>
    <w:rsid w:val="0088454C"/>
    <w:rsid w:val="008D4FF8"/>
    <w:rsid w:val="009208AC"/>
    <w:rsid w:val="009458BE"/>
    <w:rsid w:val="009D2663"/>
    <w:rsid w:val="00A61BE3"/>
    <w:rsid w:val="00AB57E0"/>
    <w:rsid w:val="00AE092F"/>
    <w:rsid w:val="00AF5B20"/>
    <w:rsid w:val="00B71A4B"/>
    <w:rsid w:val="00B9644C"/>
    <w:rsid w:val="00BA1EBB"/>
    <w:rsid w:val="00BB3B5C"/>
    <w:rsid w:val="00BC077D"/>
    <w:rsid w:val="00C02324"/>
    <w:rsid w:val="00CB67D2"/>
    <w:rsid w:val="00CC1AA0"/>
    <w:rsid w:val="00D044D3"/>
    <w:rsid w:val="00D8773C"/>
    <w:rsid w:val="00E41BA7"/>
    <w:rsid w:val="00EB002F"/>
    <w:rsid w:val="00EC082C"/>
    <w:rsid w:val="00F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096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E7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096"/>
    <w:pPr>
      <w:keepNext/>
      <w:jc w:val="center"/>
      <w:outlineLvl w:val="2"/>
    </w:pPr>
    <w:rPr>
      <w:b/>
      <w:sz w:val="40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096"/>
    <w:rPr>
      <w:sz w:val="28"/>
      <w:lang w:val="uk-UA" w:eastAsia="ru-RU"/>
    </w:rPr>
  </w:style>
  <w:style w:type="character" w:customStyle="1" w:styleId="20">
    <w:name w:val="Заголовок 2 Знак"/>
    <w:link w:val="2"/>
    <w:semiHidden/>
    <w:rsid w:val="006E7096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096"/>
    <w:rPr>
      <w:b/>
      <w:sz w:val="40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6E7096"/>
    <w:pPr>
      <w:ind w:left="720"/>
      <w:contextualSpacing/>
    </w:pPr>
    <w:rPr>
      <w:sz w:val="32"/>
    </w:rPr>
  </w:style>
  <w:style w:type="paragraph" w:customStyle="1" w:styleId="western">
    <w:name w:val="western"/>
    <w:basedOn w:val="a"/>
    <w:rsid w:val="00AB57E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B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D8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5F45E6"/>
    <w:pPr>
      <w:widowControl w:val="0"/>
      <w:suppressAutoHyphens/>
      <w:spacing w:after="120"/>
    </w:pPr>
    <w:rPr>
      <w:rFonts w:ascii="Liberation Serif" w:eastAsia="Droid Sans Fallback" w:hAnsi="Liberation Serif" w:cs="Lohit Hindi"/>
      <w:kern w:val="2"/>
      <w:lang w:val="uk-UA"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5F45E6"/>
    <w:rPr>
      <w:rFonts w:ascii="Liberation Serif" w:eastAsia="Droid Sans Fallback" w:hAnsi="Liberation Serif" w:cs="Lohit Hindi"/>
      <w:kern w:val="2"/>
      <w:sz w:val="24"/>
      <w:szCs w:val="24"/>
      <w:lang w:val="uk-UA" w:eastAsia="zh-CN" w:bidi="hi-IN"/>
    </w:rPr>
  </w:style>
  <w:style w:type="character" w:customStyle="1" w:styleId="21">
    <w:name w:val="Стиль2"/>
    <w:rsid w:val="005F45E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096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E7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096"/>
    <w:pPr>
      <w:keepNext/>
      <w:jc w:val="center"/>
      <w:outlineLvl w:val="2"/>
    </w:pPr>
    <w:rPr>
      <w:b/>
      <w:sz w:val="40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096"/>
    <w:rPr>
      <w:sz w:val="28"/>
      <w:lang w:val="uk-UA" w:eastAsia="ru-RU"/>
    </w:rPr>
  </w:style>
  <w:style w:type="character" w:customStyle="1" w:styleId="20">
    <w:name w:val="Заголовок 2 Знак"/>
    <w:link w:val="2"/>
    <w:semiHidden/>
    <w:rsid w:val="006E7096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096"/>
    <w:rPr>
      <w:b/>
      <w:sz w:val="40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6E7096"/>
    <w:pPr>
      <w:ind w:left="720"/>
      <w:contextualSpacing/>
    </w:pPr>
    <w:rPr>
      <w:sz w:val="32"/>
    </w:rPr>
  </w:style>
  <w:style w:type="paragraph" w:customStyle="1" w:styleId="western">
    <w:name w:val="western"/>
    <w:basedOn w:val="a"/>
    <w:rsid w:val="00AB57E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B5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D8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5F45E6"/>
    <w:pPr>
      <w:widowControl w:val="0"/>
      <w:suppressAutoHyphens/>
      <w:spacing w:after="120"/>
    </w:pPr>
    <w:rPr>
      <w:rFonts w:ascii="Liberation Serif" w:eastAsia="Droid Sans Fallback" w:hAnsi="Liberation Serif" w:cs="Lohit Hindi"/>
      <w:kern w:val="2"/>
      <w:lang w:val="uk-UA"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5F45E6"/>
    <w:rPr>
      <w:rFonts w:ascii="Liberation Serif" w:eastAsia="Droid Sans Fallback" w:hAnsi="Liberation Serif" w:cs="Lohit Hindi"/>
      <w:kern w:val="2"/>
      <w:sz w:val="24"/>
      <w:szCs w:val="24"/>
      <w:lang w:val="uk-UA" w:eastAsia="zh-CN" w:bidi="hi-IN"/>
    </w:rPr>
  </w:style>
  <w:style w:type="character" w:customStyle="1" w:styleId="21">
    <w:name w:val="Стиль2"/>
    <w:rsid w:val="005F45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5630-D558-4BDA-A3EB-93A063E7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10222</Words>
  <Characters>5828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stoianov</dc:creator>
  <cp:lastModifiedBy>user</cp:lastModifiedBy>
  <cp:revision>3</cp:revision>
  <cp:lastPrinted>2021-08-06T05:51:00Z</cp:lastPrinted>
  <dcterms:created xsi:type="dcterms:W3CDTF">2021-09-30T12:00:00Z</dcterms:created>
  <dcterms:modified xsi:type="dcterms:W3CDTF">2021-10-01T09:41:00Z</dcterms:modified>
</cp:coreProperties>
</file>