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D8910" w14:textId="77777777" w:rsidR="00630E60" w:rsidRDefault="00280365" w:rsidP="00630E60">
      <w:pPr>
        <w:spacing w:after="0" w:line="240" w:lineRule="auto"/>
        <w:ind w:left="5529"/>
        <w:jc w:val="both"/>
        <w:rPr>
          <w:rFonts w:ascii="Times New Roman" w:hAnsi="Times New Roman" w:cs="Times New Roman"/>
          <w:sz w:val="22"/>
          <w:szCs w:val="22"/>
        </w:rPr>
      </w:pPr>
      <w:r w:rsidRPr="00280365">
        <w:rPr>
          <w:rFonts w:ascii="Times New Roman" w:hAnsi="Times New Roman" w:cs="Times New Roman"/>
          <w:sz w:val="22"/>
          <w:szCs w:val="22"/>
        </w:rPr>
        <w:t>Додаток</w:t>
      </w:r>
    </w:p>
    <w:p w14:paraId="2FC12344" w14:textId="0DBC3633" w:rsidR="00630E60" w:rsidRDefault="00280365" w:rsidP="00630E60">
      <w:pPr>
        <w:spacing w:after="0" w:line="240" w:lineRule="auto"/>
        <w:ind w:left="5529"/>
        <w:jc w:val="both"/>
        <w:rPr>
          <w:rFonts w:ascii="Times New Roman" w:hAnsi="Times New Roman" w:cs="Times New Roman"/>
          <w:b/>
          <w:bCs/>
          <w:sz w:val="22"/>
          <w:szCs w:val="22"/>
        </w:rPr>
      </w:pPr>
      <w:r w:rsidRPr="00280365">
        <w:rPr>
          <w:rFonts w:ascii="Times New Roman" w:hAnsi="Times New Roman" w:cs="Times New Roman"/>
          <w:sz w:val="22"/>
          <w:szCs w:val="22"/>
        </w:rPr>
        <w:t xml:space="preserve">до рішення виконавчого комітету </w:t>
      </w:r>
      <w:proofErr w:type="spellStart"/>
      <w:r w:rsidRPr="00280365">
        <w:rPr>
          <w:rFonts w:ascii="Times New Roman" w:hAnsi="Times New Roman" w:cs="Times New Roman"/>
          <w:sz w:val="22"/>
          <w:szCs w:val="22"/>
        </w:rPr>
        <w:t>Білозірської</w:t>
      </w:r>
      <w:proofErr w:type="spellEnd"/>
      <w:r w:rsidRPr="00280365">
        <w:rPr>
          <w:rFonts w:ascii="Times New Roman" w:hAnsi="Times New Roman" w:cs="Times New Roman"/>
          <w:sz w:val="22"/>
          <w:szCs w:val="22"/>
        </w:rPr>
        <w:t xml:space="preserve"> сільської ради</w:t>
      </w:r>
      <w:r w:rsidRPr="00280365">
        <w:rPr>
          <w:rFonts w:ascii="Times New Roman" w:hAnsi="Times New Roman" w:cs="Times New Roman"/>
          <w:b/>
          <w:bCs/>
          <w:sz w:val="22"/>
          <w:szCs w:val="22"/>
        </w:rPr>
        <w:t xml:space="preserve"> </w:t>
      </w:r>
    </w:p>
    <w:p w14:paraId="4D267BD5" w14:textId="1F72AB97" w:rsidR="00280365" w:rsidRPr="00630E60" w:rsidRDefault="00630E60" w:rsidP="00630E60">
      <w:pPr>
        <w:spacing w:after="0" w:line="240" w:lineRule="auto"/>
        <w:ind w:left="5529"/>
        <w:jc w:val="both"/>
        <w:rPr>
          <w:rFonts w:ascii="Times New Roman" w:hAnsi="Times New Roman" w:cs="Times New Roman"/>
          <w:bCs/>
          <w:sz w:val="22"/>
          <w:szCs w:val="22"/>
        </w:rPr>
      </w:pPr>
      <w:r w:rsidRPr="00630E60">
        <w:rPr>
          <w:rFonts w:ascii="Times New Roman" w:hAnsi="Times New Roman" w:cs="Times New Roman"/>
          <w:bCs/>
          <w:sz w:val="22"/>
          <w:szCs w:val="22"/>
        </w:rPr>
        <w:t xml:space="preserve">від 16 липня 2026 року </w:t>
      </w:r>
      <w:r w:rsidR="00280365" w:rsidRPr="00630E60">
        <w:rPr>
          <w:rFonts w:ascii="Times New Roman" w:hAnsi="Times New Roman" w:cs="Times New Roman"/>
          <w:bCs/>
          <w:sz w:val="22"/>
          <w:szCs w:val="22"/>
        </w:rPr>
        <w:t xml:space="preserve"> №</w:t>
      </w:r>
      <w:r w:rsidRPr="00630E60">
        <w:rPr>
          <w:rFonts w:ascii="Times New Roman" w:hAnsi="Times New Roman" w:cs="Times New Roman"/>
          <w:bCs/>
          <w:sz w:val="22"/>
          <w:szCs w:val="22"/>
        </w:rPr>
        <w:t xml:space="preserve"> 110</w:t>
      </w:r>
    </w:p>
    <w:p w14:paraId="61CD0C4E" w14:textId="77777777" w:rsidR="00280365" w:rsidRDefault="00280365" w:rsidP="00B3300B">
      <w:pPr>
        <w:jc w:val="center"/>
        <w:rPr>
          <w:rFonts w:ascii="Times New Roman" w:hAnsi="Times New Roman" w:cs="Times New Roman"/>
          <w:b/>
          <w:bCs/>
          <w:sz w:val="28"/>
          <w:szCs w:val="28"/>
        </w:rPr>
      </w:pPr>
    </w:p>
    <w:p w14:paraId="48D91F63" w14:textId="58697C29" w:rsidR="00B3300B" w:rsidRPr="00B3300B" w:rsidRDefault="0080145D" w:rsidP="00B3300B">
      <w:pPr>
        <w:jc w:val="center"/>
        <w:rPr>
          <w:rFonts w:ascii="Times New Roman" w:hAnsi="Times New Roman" w:cs="Times New Roman"/>
          <w:b/>
          <w:bCs/>
          <w:sz w:val="28"/>
          <w:szCs w:val="28"/>
        </w:rPr>
      </w:pPr>
      <w:r w:rsidRPr="00B3300B">
        <w:rPr>
          <w:rFonts w:ascii="Times New Roman" w:hAnsi="Times New Roman" w:cs="Times New Roman"/>
          <w:b/>
          <w:bCs/>
          <w:sz w:val="28"/>
          <w:szCs w:val="28"/>
        </w:rPr>
        <w:t xml:space="preserve">Середньостроковий план пріоритетних публічних інвестицій </w:t>
      </w:r>
      <w:r w:rsidR="00B3300B" w:rsidRPr="00B3300B">
        <w:rPr>
          <w:rFonts w:ascii="Times New Roman" w:hAnsi="Times New Roman" w:cs="Times New Roman"/>
          <w:b/>
          <w:bCs/>
          <w:sz w:val="28"/>
          <w:szCs w:val="28"/>
        </w:rPr>
        <w:t>Білозір</w:t>
      </w:r>
      <w:r w:rsidRPr="00B3300B">
        <w:rPr>
          <w:rFonts w:ascii="Times New Roman" w:hAnsi="Times New Roman" w:cs="Times New Roman"/>
          <w:b/>
          <w:bCs/>
          <w:sz w:val="28"/>
          <w:szCs w:val="28"/>
        </w:rPr>
        <w:t xml:space="preserve">ської </w:t>
      </w:r>
      <w:r w:rsidR="00B3300B" w:rsidRPr="00B3300B">
        <w:rPr>
          <w:rFonts w:ascii="Times New Roman" w:hAnsi="Times New Roman" w:cs="Times New Roman"/>
          <w:b/>
          <w:bCs/>
          <w:sz w:val="28"/>
          <w:szCs w:val="28"/>
        </w:rPr>
        <w:t>сіль</w:t>
      </w:r>
      <w:r w:rsidRPr="00B3300B">
        <w:rPr>
          <w:rFonts w:ascii="Times New Roman" w:hAnsi="Times New Roman" w:cs="Times New Roman"/>
          <w:b/>
          <w:bCs/>
          <w:sz w:val="28"/>
          <w:szCs w:val="28"/>
        </w:rPr>
        <w:t>ської територіальної громади на 202</w:t>
      </w:r>
      <w:r w:rsidR="00B3300B" w:rsidRPr="00B3300B">
        <w:rPr>
          <w:rFonts w:ascii="Times New Roman" w:hAnsi="Times New Roman" w:cs="Times New Roman"/>
          <w:b/>
          <w:bCs/>
          <w:sz w:val="28"/>
          <w:szCs w:val="28"/>
        </w:rPr>
        <w:t>7</w:t>
      </w:r>
      <w:r w:rsidRPr="00B3300B">
        <w:rPr>
          <w:rFonts w:ascii="Times New Roman" w:hAnsi="Times New Roman" w:cs="Times New Roman"/>
          <w:b/>
          <w:bCs/>
          <w:sz w:val="28"/>
          <w:szCs w:val="28"/>
        </w:rPr>
        <w:t>–202</w:t>
      </w:r>
      <w:r w:rsidR="00B3300B" w:rsidRPr="00B3300B">
        <w:rPr>
          <w:rFonts w:ascii="Times New Roman" w:hAnsi="Times New Roman" w:cs="Times New Roman"/>
          <w:b/>
          <w:bCs/>
          <w:sz w:val="28"/>
          <w:szCs w:val="28"/>
        </w:rPr>
        <w:t>9</w:t>
      </w:r>
      <w:r w:rsidRPr="00B3300B">
        <w:rPr>
          <w:rFonts w:ascii="Times New Roman" w:hAnsi="Times New Roman" w:cs="Times New Roman"/>
          <w:b/>
          <w:bCs/>
          <w:sz w:val="28"/>
          <w:szCs w:val="28"/>
        </w:rPr>
        <w:t xml:space="preserve"> роки</w:t>
      </w:r>
    </w:p>
    <w:p w14:paraId="2DF86CE0" w14:textId="6E416CD4" w:rsidR="00B3300B" w:rsidRPr="00B3300B" w:rsidRDefault="0080145D" w:rsidP="00B3300B">
      <w:pPr>
        <w:jc w:val="center"/>
        <w:rPr>
          <w:rFonts w:ascii="Times New Roman" w:hAnsi="Times New Roman" w:cs="Times New Roman"/>
          <w:b/>
          <w:bCs/>
          <w:sz w:val="28"/>
          <w:szCs w:val="28"/>
        </w:rPr>
      </w:pPr>
      <w:r w:rsidRPr="00B3300B">
        <w:rPr>
          <w:rFonts w:ascii="Times New Roman" w:hAnsi="Times New Roman" w:cs="Times New Roman"/>
          <w:b/>
          <w:bCs/>
          <w:sz w:val="28"/>
          <w:szCs w:val="28"/>
        </w:rPr>
        <w:t>Загальна частина</w:t>
      </w:r>
    </w:p>
    <w:p w14:paraId="0FC7E914" w14:textId="177C665D" w:rsidR="00B3300B" w:rsidRPr="00B3300B" w:rsidRDefault="0080145D" w:rsidP="00B3300B">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331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28.02.2025 №294.</w:t>
      </w:r>
    </w:p>
    <w:p w14:paraId="18BF291E" w14:textId="1A6FBDDA" w:rsidR="00B3300B" w:rsidRPr="00B3300B" w:rsidRDefault="0080145D" w:rsidP="00B3300B">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проєктах та програмах публічних інвестицій.</w:t>
      </w:r>
    </w:p>
    <w:p w14:paraId="422EE1BD" w14:textId="77777777" w:rsidR="00B3300B" w:rsidRDefault="0080145D" w:rsidP="00B3300B">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 xml:space="preserve">Середньостроковий план визначає: </w:t>
      </w:r>
    </w:p>
    <w:p w14:paraId="061B959A" w14:textId="77777777" w:rsidR="00B3300B" w:rsidRDefault="0080145D" w:rsidP="00B3300B">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 xml:space="preserve">наскрізні стратегічні цілі здійснення публічних інвестицій; </w:t>
      </w:r>
    </w:p>
    <w:p w14:paraId="2062F250" w14:textId="77777777" w:rsidR="00D85782" w:rsidRPr="00630E60" w:rsidRDefault="0080145D" w:rsidP="00B3300B">
      <w:pPr>
        <w:pStyle w:val="ac"/>
        <w:ind w:firstLine="708"/>
        <w:jc w:val="both"/>
        <w:rPr>
          <w:rFonts w:ascii="Times New Roman" w:hAnsi="Times New Roman" w:cs="Times New Roman"/>
          <w:sz w:val="28"/>
          <w:szCs w:val="28"/>
          <w:lang w:val="ru-RU"/>
        </w:rPr>
      </w:pPr>
      <w:r w:rsidRPr="00B3300B">
        <w:rPr>
          <w:rFonts w:ascii="Times New Roman" w:hAnsi="Times New Roman" w:cs="Times New Roman"/>
          <w:sz w:val="28"/>
          <w:szCs w:val="28"/>
        </w:rPr>
        <w:t xml:space="preserve">пріоритетні галузі (сектори) для публічного інвестування; </w:t>
      </w:r>
    </w:p>
    <w:p w14:paraId="28CF4C8F" w14:textId="77777777" w:rsidR="00D85782" w:rsidRPr="00630E60" w:rsidRDefault="0080145D" w:rsidP="00B3300B">
      <w:pPr>
        <w:pStyle w:val="ac"/>
        <w:ind w:firstLine="708"/>
        <w:jc w:val="both"/>
        <w:rPr>
          <w:rFonts w:ascii="Times New Roman" w:hAnsi="Times New Roman" w:cs="Times New Roman"/>
          <w:sz w:val="28"/>
          <w:szCs w:val="28"/>
          <w:lang w:val="ru-RU"/>
        </w:rPr>
      </w:pPr>
      <w:r w:rsidRPr="00B3300B">
        <w:rPr>
          <w:rFonts w:ascii="Times New Roman" w:hAnsi="Times New Roman" w:cs="Times New Roman"/>
          <w:sz w:val="28"/>
          <w:szCs w:val="28"/>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14:paraId="57524AB1" w14:textId="77777777" w:rsidR="00D85782" w:rsidRPr="00630E60" w:rsidRDefault="0080145D" w:rsidP="00B3300B">
      <w:pPr>
        <w:pStyle w:val="ac"/>
        <w:ind w:firstLine="708"/>
        <w:jc w:val="both"/>
        <w:rPr>
          <w:rFonts w:ascii="Times New Roman" w:hAnsi="Times New Roman" w:cs="Times New Roman"/>
          <w:sz w:val="28"/>
          <w:szCs w:val="28"/>
          <w:lang w:val="ru-RU"/>
        </w:rPr>
      </w:pPr>
      <w:proofErr w:type="spellStart"/>
      <w:r w:rsidRPr="00B3300B">
        <w:rPr>
          <w:rFonts w:ascii="Times New Roman" w:hAnsi="Times New Roman" w:cs="Times New Roman"/>
          <w:sz w:val="28"/>
          <w:szCs w:val="28"/>
        </w:rPr>
        <w:t>підсектори</w:t>
      </w:r>
      <w:proofErr w:type="spellEnd"/>
      <w:r w:rsidRPr="00B3300B">
        <w:rPr>
          <w:rFonts w:ascii="Times New Roman" w:hAnsi="Times New Roman" w:cs="Times New Roman"/>
          <w:sz w:val="28"/>
          <w:szCs w:val="28"/>
        </w:rPr>
        <w:t xml:space="preserve"> галузей (секторів) для публічного інвестування. </w:t>
      </w:r>
    </w:p>
    <w:p w14:paraId="4DF0150E" w14:textId="77777777" w:rsidR="00C11300" w:rsidRPr="00630E60" w:rsidRDefault="0080145D" w:rsidP="00B3300B">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 xml:space="preserve">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російською збройною агресією проти України, а також гранти, програми підтримки бізнесу, фінансування від міжнародних фінансових організацій для приватного сектору та інші інструменти і форми підтримки бізнесу та громадян, які не є публічними інвестиціями у розумінні Бюджетного кодексу України. </w:t>
      </w:r>
    </w:p>
    <w:p w14:paraId="1BE5442B" w14:textId="2ED064B8" w:rsidR="00C11300" w:rsidRPr="00630E60" w:rsidRDefault="0080145D" w:rsidP="00C11300">
      <w:pPr>
        <w:pStyle w:val="ac"/>
        <w:jc w:val="center"/>
        <w:rPr>
          <w:rFonts w:ascii="Times New Roman" w:hAnsi="Times New Roman" w:cs="Times New Roman"/>
          <w:b/>
          <w:bCs/>
          <w:sz w:val="28"/>
          <w:szCs w:val="28"/>
        </w:rPr>
      </w:pPr>
      <w:r w:rsidRPr="00C11300">
        <w:rPr>
          <w:rFonts w:ascii="Times New Roman" w:hAnsi="Times New Roman" w:cs="Times New Roman"/>
          <w:b/>
          <w:bCs/>
          <w:sz w:val="28"/>
          <w:szCs w:val="28"/>
        </w:rPr>
        <w:t>Описова частина</w:t>
      </w:r>
    </w:p>
    <w:p w14:paraId="38AAB99D" w14:textId="2BA21478" w:rsidR="00C11300" w:rsidRDefault="0080145D" w:rsidP="00C11300">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 xml:space="preserve">Середньостроковий план </w:t>
      </w:r>
      <w:r w:rsidR="00C11300">
        <w:rPr>
          <w:rFonts w:ascii="Times New Roman" w:hAnsi="Times New Roman" w:cs="Times New Roman"/>
          <w:sz w:val="28"/>
          <w:szCs w:val="28"/>
        </w:rPr>
        <w:t>Білозір</w:t>
      </w:r>
      <w:r w:rsidRPr="00B3300B">
        <w:rPr>
          <w:rFonts w:ascii="Times New Roman" w:hAnsi="Times New Roman" w:cs="Times New Roman"/>
          <w:sz w:val="28"/>
          <w:szCs w:val="28"/>
        </w:rPr>
        <w:t xml:space="preserve">ської </w:t>
      </w:r>
      <w:r w:rsidR="00C11300">
        <w:rPr>
          <w:rFonts w:ascii="Times New Roman" w:hAnsi="Times New Roman" w:cs="Times New Roman"/>
          <w:sz w:val="28"/>
          <w:szCs w:val="28"/>
        </w:rPr>
        <w:t>сіль</w:t>
      </w:r>
      <w:r w:rsidRPr="00B3300B">
        <w:rPr>
          <w:rFonts w:ascii="Times New Roman" w:hAnsi="Times New Roman" w:cs="Times New Roman"/>
          <w:sz w:val="28"/>
          <w:szCs w:val="28"/>
        </w:rPr>
        <w:t xml:space="preserve">ської територіальної громади розроблено </w:t>
      </w:r>
      <w:r w:rsidR="00C11300">
        <w:rPr>
          <w:rFonts w:ascii="Times New Roman" w:hAnsi="Times New Roman" w:cs="Times New Roman"/>
          <w:sz w:val="28"/>
          <w:szCs w:val="28"/>
        </w:rPr>
        <w:t>відділом економічного розвитку та інвестицій виконавчого комітету Білозірської сільської ради</w:t>
      </w:r>
      <w:r w:rsidRPr="00B3300B">
        <w:rPr>
          <w:rFonts w:ascii="Times New Roman" w:hAnsi="Times New Roman" w:cs="Times New Roman"/>
          <w:sz w:val="28"/>
          <w:szCs w:val="28"/>
        </w:rPr>
        <w:t xml:space="preserve"> на підставі пропозицій виконавчих органів </w:t>
      </w:r>
      <w:r w:rsidR="00C11300">
        <w:rPr>
          <w:rFonts w:ascii="Times New Roman" w:hAnsi="Times New Roman" w:cs="Times New Roman"/>
          <w:sz w:val="28"/>
          <w:szCs w:val="28"/>
        </w:rPr>
        <w:t>сіль</w:t>
      </w:r>
      <w:r w:rsidRPr="00B3300B">
        <w:rPr>
          <w:rFonts w:ascii="Times New Roman" w:hAnsi="Times New Roman" w:cs="Times New Roman"/>
          <w:sz w:val="28"/>
          <w:szCs w:val="28"/>
        </w:rPr>
        <w:t xml:space="preserve">ської ради відповідно до цілей і завдань, визначених Стратегією розвитку </w:t>
      </w:r>
      <w:r w:rsidR="00C11300">
        <w:rPr>
          <w:rFonts w:ascii="Times New Roman" w:hAnsi="Times New Roman" w:cs="Times New Roman"/>
          <w:sz w:val="28"/>
          <w:szCs w:val="28"/>
        </w:rPr>
        <w:t>Білозір</w:t>
      </w:r>
      <w:r w:rsidRPr="00B3300B">
        <w:rPr>
          <w:rFonts w:ascii="Times New Roman" w:hAnsi="Times New Roman" w:cs="Times New Roman"/>
          <w:sz w:val="28"/>
          <w:szCs w:val="28"/>
        </w:rPr>
        <w:t xml:space="preserve">ської </w:t>
      </w:r>
      <w:r w:rsidR="00C11300">
        <w:rPr>
          <w:rFonts w:ascii="Times New Roman" w:hAnsi="Times New Roman" w:cs="Times New Roman"/>
          <w:sz w:val="28"/>
          <w:szCs w:val="28"/>
        </w:rPr>
        <w:t>сіль</w:t>
      </w:r>
      <w:r w:rsidRPr="00B3300B">
        <w:rPr>
          <w:rFonts w:ascii="Times New Roman" w:hAnsi="Times New Roman" w:cs="Times New Roman"/>
          <w:sz w:val="28"/>
          <w:szCs w:val="28"/>
        </w:rPr>
        <w:t>ської територіальної громади на 202</w:t>
      </w:r>
      <w:r w:rsidR="00C11300">
        <w:rPr>
          <w:rFonts w:ascii="Times New Roman" w:hAnsi="Times New Roman" w:cs="Times New Roman"/>
          <w:sz w:val="28"/>
          <w:szCs w:val="28"/>
        </w:rPr>
        <w:t>6-2027</w:t>
      </w:r>
      <w:r w:rsidRPr="00B3300B">
        <w:rPr>
          <w:rFonts w:ascii="Times New Roman" w:hAnsi="Times New Roman" w:cs="Times New Roman"/>
          <w:sz w:val="28"/>
          <w:szCs w:val="28"/>
        </w:rPr>
        <w:t xml:space="preserve"> рок</w:t>
      </w:r>
      <w:r w:rsidR="00C11300">
        <w:rPr>
          <w:rFonts w:ascii="Times New Roman" w:hAnsi="Times New Roman" w:cs="Times New Roman"/>
          <w:sz w:val="28"/>
          <w:szCs w:val="28"/>
        </w:rPr>
        <w:t>и з перспективою до 2034 року</w:t>
      </w:r>
      <w:r w:rsidRPr="00B3300B">
        <w:rPr>
          <w:rFonts w:ascii="Times New Roman" w:hAnsi="Times New Roman" w:cs="Times New Roman"/>
          <w:sz w:val="28"/>
          <w:szCs w:val="28"/>
        </w:rPr>
        <w:t xml:space="preserve">, у межах орієнтовного граничного сукупного обсягу </w:t>
      </w:r>
      <w:r w:rsidRPr="00B3300B">
        <w:rPr>
          <w:rFonts w:ascii="Times New Roman" w:hAnsi="Times New Roman" w:cs="Times New Roman"/>
          <w:sz w:val="28"/>
          <w:szCs w:val="28"/>
        </w:rPr>
        <w:lastRenderedPageBreak/>
        <w:t xml:space="preserve">публічних інвестицій на середньостроковий період, доведеного  </w:t>
      </w:r>
      <w:r w:rsidR="00C11300">
        <w:rPr>
          <w:rFonts w:ascii="Times New Roman" w:hAnsi="Times New Roman" w:cs="Times New Roman"/>
          <w:sz w:val="28"/>
          <w:szCs w:val="28"/>
        </w:rPr>
        <w:t>Фінансовим відділом Білозірської сільської ради</w:t>
      </w:r>
      <w:r w:rsidRPr="00B3300B">
        <w:rPr>
          <w:rFonts w:ascii="Times New Roman" w:hAnsi="Times New Roman" w:cs="Times New Roman"/>
          <w:sz w:val="28"/>
          <w:szCs w:val="28"/>
        </w:rPr>
        <w:t xml:space="preserve">. </w:t>
      </w:r>
    </w:p>
    <w:p w14:paraId="6957714F" w14:textId="77777777" w:rsidR="00C11300" w:rsidRPr="003F27A1" w:rsidRDefault="0080145D" w:rsidP="00C11300">
      <w:pPr>
        <w:pStyle w:val="ac"/>
        <w:ind w:firstLine="708"/>
        <w:jc w:val="both"/>
        <w:rPr>
          <w:rFonts w:ascii="Times New Roman" w:hAnsi="Times New Roman" w:cs="Times New Roman"/>
          <w:i/>
          <w:iCs/>
          <w:sz w:val="28"/>
          <w:szCs w:val="28"/>
        </w:rPr>
      </w:pPr>
      <w:r w:rsidRPr="003F27A1">
        <w:rPr>
          <w:rFonts w:ascii="Times New Roman" w:hAnsi="Times New Roman" w:cs="Times New Roman"/>
          <w:i/>
          <w:iCs/>
          <w:sz w:val="28"/>
          <w:szCs w:val="28"/>
        </w:rPr>
        <w:t xml:space="preserve">Наскрізні стратегічні цілі здійснення публічних інвестицій </w:t>
      </w:r>
    </w:p>
    <w:p w14:paraId="33AC8202" w14:textId="77777777" w:rsidR="00C11300" w:rsidRDefault="0080145D" w:rsidP="00C11300">
      <w:pPr>
        <w:pStyle w:val="ac"/>
        <w:ind w:firstLine="708"/>
        <w:jc w:val="both"/>
        <w:rPr>
          <w:rFonts w:ascii="Times New Roman" w:hAnsi="Times New Roman" w:cs="Times New Roman"/>
          <w:sz w:val="28"/>
          <w:szCs w:val="28"/>
        </w:rPr>
      </w:pPr>
      <w:r w:rsidRPr="00B3300B">
        <w:rPr>
          <w:rFonts w:ascii="Times New Roman" w:hAnsi="Times New Roman" w:cs="Times New Roman"/>
          <w:sz w:val="28"/>
          <w:szCs w:val="28"/>
        </w:rPr>
        <w:t>Наскрізними стратегічними цілями здійснення публічних інвестицій є цілі, що мають міжгалузевий (міжсекторальний) характер</w:t>
      </w:r>
      <w:r w:rsidRPr="0080145D">
        <w:t xml:space="preserve">, </w:t>
      </w:r>
      <w:r w:rsidRPr="0030646B">
        <w:rPr>
          <w:rFonts w:ascii="Times New Roman" w:hAnsi="Times New Roman" w:cs="Times New Roman"/>
          <w:sz w:val="28"/>
          <w:szCs w:val="28"/>
        </w:rPr>
        <w:t xml:space="preserve">відповідають національним та регіональним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w:t>
      </w:r>
    </w:p>
    <w:p w14:paraId="6A71544C" w14:textId="77777777" w:rsidR="003F27A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На 202</w:t>
      </w:r>
      <w:r w:rsidR="00C11300">
        <w:rPr>
          <w:rFonts w:ascii="Times New Roman" w:hAnsi="Times New Roman" w:cs="Times New Roman"/>
          <w:sz w:val="28"/>
          <w:szCs w:val="28"/>
        </w:rPr>
        <w:t>7</w:t>
      </w:r>
      <w:r w:rsidRPr="0030646B">
        <w:rPr>
          <w:rFonts w:ascii="Times New Roman" w:hAnsi="Times New Roman" w:cs="Times New Roman"/>
          <w:sz w:val="28"/>
          <w:szCs w:val="28"/>
        </w:rPr>
        <w:t>–202</w:t>
      </w:r>
      <w:r w:rsidR="00C11300">
        <w:rPr>
          <w:rFonts w:ascii="Times New Roman" w:hAnsi="Times New Roman" w:cs="Times New Roman"/>
          <w:sz w:val="28"/>
          <w:szCs w:val="28"/>
        </w:rPr>
        <w:t>9</w:t>
      </w:r>
      <w:r w:rsidRPr="0030646B">
        <w:rPr>
          <w:rFonts w:ascii="Times New Roman" w:hAnsi="Times New Roman" w:cs="Times New Roman"/>
          <w:sz w:val="28"/>
          <w:szCs w:val="28"/>
        </w:rPr>
        <w:t xml:space="preserve"> роки наскрізними стратегічними цілями як на рівні держави, так і в </w:t>
      </w:r>
      <w:r w:rsidR="008A16EF">
        <w:rPr>
          <w:rFonts w:ascii="Times New Roman" w:hAnsi="Times New Roman" w:cs="Times New Roman"/>
          <w:sz w:val="28"/>
          <w:szCs w:val="28"/>
        </w:rPr>
        <w:t>Білозір</w:t>
      </w:r>
      <w:r w:rsidRPr="0030646B">
        <w:rPr>
          <w:rFonts w:ascii="Times New Roman" w:hAnsi="Times New Roman" w:cs="Times New Roman"/>
          <w:sz w:val="28"/>
          <w:szCs w:val="28"/>
        </w:rPr>
        <w:t xml:space="preserve">ській </w:t>
      </w:r>
      <w:r w:rsidR="008A16EF">
        <w:rPr>
          <w:rFonts w:ascii="Times New Roman" w:hAnsi="Times New Roman" w:cs="Times New Roman"/>
          <w:sz w:val="28"/>
          <w:szCs w:val="28"/>
        </w:rPr>
        <w:t>сіль</w:t>
      </w:r>
      <w:r w:rsidRPr="0030646B">
        <w:rPr>
          <w:rFonts w:ascii="Times New Roman" w:hAnsi="Times New Roman" w:cs="Times New Roman"/>
          <w:sz w:val="28"/>
          <w:szCs w:val="28"/>
        </w:rPr>
        <w:t xml:space="preserve">ській територіальній громаді обрано енергоефективність, реагування на зміни клімату та </w:t>
      </w:r>
      <w:proofErr w:type="spellStart"/>
      <w:r w:rsidRPr="0030646B">
        <w:rPr>
          <w:rFonts w:ascii="Times New Roman" w:hAnsi="Times New Roman" w:cs="Times New Roman"/>
          <w:sz w:val="28"/>
          <w:szCs w:val="28"/>
        </w:rPr>
        <w:t>безбар’єрність</w:t>
      </w:r>
      <w:proofErr w:type="spellEnd"/>
      <w:r w:rsidRPr="0030646B">
        <w:rPr>
          <w:rFonts w:ascii="Times New Roman" w:hAnsi="Times New Roman" w:cs="Times New Roman"/>
          <w:sz w:val="28"/>
          <w:szCs w:val="28"/>
        </w:rPr>
        <w:t xml:space="preserve">. </w:t>
      </w:r>
    </w:p>
    <w:p w14:paraId="77241CFF" w14:textId="77777777" w:rsidR="003F27A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Реалізація наскрізних стратегічних цілей передбачає раціональне використання енергоресурсів, впровадження енергоефективних технологій, адаптацію інфраструктури </w:t>
      </w:r>
      <w:r w:rsidR="008A16EF">
        <w:rPr>
          <w:rFonts w:ascii="Times New Roman" w:hAnsi="Times New Roman" w:cs="Times New Roman"/>
          <w:sz w:val="28"/>
          <w:szCs w:val="28"/>
        </w:rPr>
        <w:t>Білозір</w:t>
      </w:r>
      <w:r w:rsidRPr="0030646B">
        <w:rPr>
          <w:rFonts w:ascii="Times New Roman" w:hAnsi="Times New Roman" w:cs="Times New Roman"/>
          <w:sz w:val="28"/>
          <w:szCs w:val="28"/>
        </w:rPr>
        <w:t xml:space="preserve">ської громади до нових викликів і захист навколишнього природного середовища. У процесі враховуються принципи рівності, </w:t>
      </w:r>
      <w:proofErr w:type="spellStart"/>
      <w:r w:rsidRPr="0030646B">
        <w:rPr>
          <w:rFonts w:ascii="Times New Roman" w:hAnsi="Times New Roman" w:cs="Times New Roman"/>
          <w:sz w:val="28"/>
          <w:szCs w:val="28"/>
        </w:rPr>
        <w:t>безбар’єрності</w:t>
      </w:r>
      <w:proofErr w:type="spellEnd"/>
      <w:r w:rsidRPr="0030646B">
        <w:rPr>
          <w:rFonts w:ascii="Times New Roman" w:hAnsi="Times New Roman" w:cs="Times New Roman"/>
          <w:sz w:val="28"/>
          <w:szCs w:val="28"/>
        </w:rPr>
        <w:t xml:space="preserve"> та доступності для всіх категорій населення – зокрема для осіб з інвалідністю, людей з різними функціональними порушеннями, осіб похилого віку, незалежно від статі чи соціального статусу.</w:t>
      </w:r>
    </w:p>
    <w:p w14:paraId="2DC37003" w14:textId="77777777" w:rsidR="003F27A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 Послідовна реалізація запланованих завдань та проєктів у сферах екологічної, енергетичної та громадської безпеки, житлово-комунального господарства, транспортної інфраструктури, освіти, охорони здоров’я та соціальної сфери дозволить підвищити якість життя мешканців, сприятиме економічному зростанню громади та зміцненню її конкурентоспроможності на національному і міжнародному рівнях. </w:t>
      </w:r>
    </w:p>
    <w:p w14:paraId="7B88A035" w14:textId="437713A1" w:rsidR="003F27A1" w:rsidRPr="003F27A1" w:rsidRDefault="003F27A1" w:rsidP="00C11300">
      <w:pPr>
        <w:pStyle w:val="ac"/>
        <w:ind w:firstLine="708"/>
        <w:jc w:val="both"/>
        <w:rPr>
          <w:rFonts w:ascii="Times New Roman" w:hAnsi="Times New Roman" w:cs="Times New Roman"/>
          <w:i/>
          <w:iCs/>
          <w:sz w:val="28"/>
          <w:szCs w:val="28"/>
        </w:rPr>
      </w:pPr>
      <w:r w:rsidRPr="003F27A1">
        <w:rPr>
          <w:rFonts w:ascii="Times New Roman" w:hAnsi="Times New Roman" w:cs="Times New Roman"/>
          <w:i/>
          <w:iCs/>
          <w:sz w:val="28"/>
          <w:szCs w:val="28"/>
        </w:rPr>
        <w:t>Пріоритетні галузі (сектори) для публічного інвестування</w:t>
      </w:r>
    </w:p>
    <w:p w14:paraId="6C3810C3" w14:textId="77777777" w:rsidR="003F27A1" w:rsidRDefault="008A16EF" w:rsidP="00C11300">
      <w:pPr>
        <w:pStyle w:val="ac"/>
        <w:ind w:firstLine="708"/>
        <w:jc w:val="both"/>
        <w:rPr>
          <w:rFonts w:ascii="Times New Roman" w:hAnsi="Times New Roman" w:cs="Times New Roman"/>
          <w:sz w:val="28"/>
          <w:szCs w:val="28"/>
        </w:rPr>
      </w:pPr>
      <w:r w:rsidRPr="008A16EF">
        <w:rPr>
          <w:rFonts w:ascii="Times New Roman" w:hAnsi="Times New Roman" w:cs="Times New Roman"/>
          <w:sz w:val="28"/>
          <w:szCs w:val="28"/>
        </w:rPr>
        <w:t>Пріоритетні галузі (сектори) для публічного інвестування, визначені у середньостроковому плані, є ключовими для розвитку Білозірської сільської територіальної громади. Саме на них спрямовуватимуться публічні інвестиції у середньостроковій перспективі</w:t>
      </w:r>
      <w:r w:rsidR="0080145D" w:rsidRPr="0030646B">
        <w:rPr>
          <w:rFonts w:ascii="Times New Roman" w:hAnsi="Times New Roman" w:cs="Times New Roman"/>
          <w:sz w:val="28"/>
          <w:szCs w:val="28"/>
        </w:rPr>
        <w:t xml:space="preserve">. </w:t>
      </w:r>
    </w:p>
    <w:p w14:paraId="09849E9D" w14:textId="77777777" w:rsidR="003F27A1" w:rsidRPr="00FE5C3A" w:rsidRDefault="008A16EF" w:rsidP="00C11300">
      <w:pPr>
        <w:pStyle w:val="ac"/>
        <w:ind w:firstLine="708"/>
        <w:jc w:val="both"/>
        <w:rPr>
          <w:rFonts w:ascii="Times New Roman" w:hAnsi="Times New Roman" w:cs="Times New Roman"/>
          <w:sz w:val="28"/>
          <w:szCs w:val="28"/>
        </w:rPr>
      </w:pPr>
      <w:r w:rsidRPr="00FE5C3A">
        <w:rPr>
          <w:rFonts w:ascii="Times New Roman" w:hAnsi="Times New Roman" w:cs="Times New Roman"/>
          <w:sz w:val="28"/>
          <w:szCs w:val="28"/>
        </w:rPr>
        <w:t xml:space="preserve">Пріоритетні галузі (сектори) для публічного інвестування були відібрані та впорядковані на період дії середньострокового плану з урахуванням потреб, пріоритетів та спроможностей </w:t>
      </w:r>
      <w:proofErr w:type="spellStart"/>
      <w:r w:rsidRPr="00FE5C3A">
        <w:rPr>
          <w:rFonts w:ascii="Times New Roman" w:hAnsi="Times New Roman" w:cs="Times New Roman"/>
          <w:sz w:val="28"/>
          <w:szCs w:val="28"/>
        </w:rPr>
        <w:t>Білозірської</w:t>
      </w:r>
      <w:proofErr w:type="spellEnd"/>
      <w:r w:rsidRPr="00FE5C3A">
        <w:rPr>
          <w:rFonts w:ascii="Times New Roman" w:hAnsi="Times New Roman" w:cs="Times New Roman"/>
          <w:sz w:val="28"/>
          <w:szCs w:val="28"/>
        </w:rPr>
        <w:t xml:space="preserve"> сільської територіальної громади, регіону та держави. При цьому враховано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 </w:t>
      </w:r>
    </w:p>
    <w:p w14:paraId="266123CC" w14:textId="2B8EDC60" w:rsidR="009C4D4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До пріоритетних галузей (секторів) для публічного інвестування, визначених цим планом, відносяться: </w:t>
      </w:r>
      <w:r w:rsidRPr="009C4D41">
        <w:rPr>
          <w:rFonts w:ascii="Times New Roman" w:hAnsi="Times New Roman" w:cs="Times New Roman"/>
          <w:b/>
          <w:bCs/>
          <w:sz w:val="28"/>
          <w:szCs w:val="28"/>
        </w:rPr>
        <w:t>муніципальна інфраструктура</w:t>
      </w:r>
      <w:r w:rsidR="00CA3201">
        <w:rPr>
          <w:rFonts w:ascii="Times New Roman" w:hAnsi="Times New Roman" w:cs="Times New Roman"/>
          <w:b/>
          <w:bCs/>
          <w:sz w:val="28"/>
          <w:szCs w:val="28"/>
        </w:rPr>
        <w:t xml:space="preserve"> та послуги</w:t>
      </w:r>
      <w:r w:rsidRPr="009C4D41">
        <w:rPr>
          <w:rFonts w:ascii="Times New Roman" w:hAnsi="Times New Roman" w:cs="Times New Roman"/>
          <w:b/>
          <w:bCs/>
          <w:sz w:val="28"/>
          <w:szCs w:val="28"/>
        </w:rPr>
        <w:t>, освіта і наука</w:t>
      </w:r>
      <w:r w:rsidR="009C4D41" w:rsidRPr="009C4D41">
        <w:rPr>
          <w:rFonts w:ascii="Times New Roman" w:hAnsi="Times New Roman" w:cs="Times New Roman"/>
          <w:b/>
          <w:bCs/>
          <w:sz w:val="28"/>
          <w:szCs w:val="28"/>
        </w:rPr>
        <w:t xml:space="preserve">, </w:t>
      </w:r>
      <w:r w:rsidR="005A03C3" w:rsidRPr="005A03C3">
        <w:rPr>
          <w:rFonts w:ascii="Times New Roman" w:hAnsi="Times New Roman" w:cs="Times New Roman"/>
          <w:b/>
          <w:bCs/>
          <w:sz w:val="28"/>
          <w:szCs w:val="28"/>
        </w:rPr>
        <w:t>громадська безпека,</w:t>
      </w:r>
      <w:r w:rsidR="005A03C3">
        <w:rPr>
          <w:rFonts w:ascii="Times New Roman" w:hAnsi="Times New Roman" w:cs="Times New Roman"/>
          <w:b/>
          <w:bCs/>
          <w:sz w:val="28"/>
          <w:szCs w:val="28"/>
        </w:rPr>
        <w:t xml:space="preserve"> енергетика</w:t>
      </w:r>
      <w:r w:rsidR="00FE5C3A">
        <w:rPr>
          <w:rFonts w:ascii="Times New Roman" w:hAnsi="Times New Roman" w:cs="Times New Roman"/>
          <w:b/>
          <w:bCs/>
          <w:sz w:val="28"/>
          <w:szCs w:val="28"/>
        </w:rPr>
        <w:t>, культура та інформація.</w:t>
      </w:r>
    </w:p>
    <w:p w14:paraId="019F3661" w14:textId="7A97C6FF" w:rsidR="009C4D4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З метою досягнення стратегічних цілей розвитку </w:t>
      </w:r>
      <w:r w:rsidR="009C4D41">
        <w:rPr>
          <w:rFonts w:ascii="Times New Roman" w:hAnsi="Times New Roman" w:cs="Times New Roman"/>
          <w:sz w:val="28"/>
          <w:szCs w:val="28"/>
        </w:rPr>
        <w:t>Білозір</w:t>
      </w:r>
      <w:r w:rsidRPr="0030646B">
        <w:rPr>
          <w:rFonts w:ascii="Times New Roman" w:hAnsi="Times New Roman" w:cs="Times New Roman"/>
          <w:sz w:val="28"/>
          <w:szCs w:val="28"/>
        </w:rPr>
        <w:t xml:space="preserve">ської </w:t>
      </w:r>
      <w:r w:rsidR="009C4D41">
        <w:rPr>
          <w:rFonts w:ascii="Times New Roman" w:hAnsi="Times New Roman" w:cs="Times New Roman"/>
          <w:sz w:val="28"/>
          <w:szCs w:val="28"/>
        </w:rPr>
        <w:t>сіль</w:t>
      </w:r>
      <w:r w:rsidRPr="0030646B">
        <w:rPr>
          <w:rFonts w:ascii="Times New Roman" w:hAnsi="Times New Roman" w:cs="Times New Roman"/>
          <w:sz w:val="28"/>
          <w:szCs w:val="28"/>
        </w:rPr>
        <w:t>ської територіальної громади та забезпечення реалізації завдань, спрямованих на відновлення інфраструктури, стимулювання економічного і соціального розвитку та покращення якості життя громадян протягом 202</w:t>
      </w:r>
      <w:r w:rsidR="009C4D41">
        <w:rPr>
          <w:rFonts w:ascii="Times New Roman" w:hAnsi="Times New Roman" w:cs="Times New Roman"/>
          <w:sz w:val="28"/>
          <w:szCs w:val="28"/>
        </w:rPr>
        <w:t>7</w:t>
      </w:r>
      <w:r w:rsidRPr="0030646B">
        <w:rPr>
          <w:rFonts w:ascii="Times New Roman" w:hAnsi="Times New Roman" w:cs="Times New Roman"/>
          <w:sz w:val="28"/>
          <w:szCs w:val="28"/>
        </w:rPr>
        <w:t>–202</w:t>
      </w:r>
      <w:r w:rsidR="009C4D41">
        <w:rPr>
          <w:rFonts w:ascii="Times New Roman" w:hAnsi="Times New Roman" w:cs="Times New Roman"/>
          <w:sz w:val="28"/>
          <w:szCs w:val="28"/>
        </w:rPr>
        <w:t>9</w:t>
      </w:r>
      <w:r w:rsidRPr="0030646B">
        <w:rPr>
          <w:rFonts w:ascii="Times New Roman" w:hAnsi="Times New Roman" w:cs="Times New Roman"/>
          <w:sz w:val="28"/>
          <w:szCs w:val="28"/>
        </w:rPr>
        <w:t xml:space="preserve"> років, середньостроковим планом пропонується визначити </w:t>
      </w:r>
      <w:r w:rsidR="00CA3201">
        <w:rPr>
          <w:rFonts w:ascii="Times New Roman" w:hAnsi="Times New Roman" w:cs="Times New Roman"/>
          <w:sz w:val="28"/>
          <w:szCs w:val="28"/>
        </w:rPr>
        <w:t xml:space="preserve"> </w:t>
      </w:r>
      <w:r w:rsidR="00280365">
        <w:rPr>
          <w:rFonts w:ascii="Times New Roman" w:hAnsi="Times New Roman" w:cs="Times New Roman"/>
          <w:sz w:val="28"/>
          <w:szCs w:val="28"/>
        </w:rPr>
        <w:t>п’ять</w:t>
      </w:r>
      <w:r w:rsidRPr="0030646B">
        <w:rPr>
          <w:rFonts w:ascii="Times New Roman" w:hAnsi="Times New Roman" w:cs="Times New Roman"/>
          <w:sz w:val="28"/>
          <w:szCs w:val="28"/>
        </w:rPr>
        <w:t xml:space="preserve"> ключових галузей (секторів) для публічного інвестування. </w:t>
      </w:r>
    </w:p>
    <w:p w14:paraId="195E4DC7" w14:textId="77777777" w:rsidR="003F27A1" w:rsidRDefault="0080145D" w:rsidP="00C11300">
      <w:pPr>
        <w:pStyle w:val="ac"/>
        <w:ind w:firstLine="708"/>
        <w:jc w:val="both"/>
        <w:rPr>
          <w:rFonts w:ascii="Times New Roman" w:hAnsi="Times New Roman" w:cs="Times New Roman"/>
          <w:sz w:val="28"/>
          <w:szCs w:val="28"/>
        </w:rPr>
      </w:pPr>
      <w:r w:rsidRPr="001A2C77">
        <w:rPr>
          <w:rFonts w:ascii="Times New Roman" w:hAnsi="Times New Roman" w:cs="Times New Roman"/>
          <w:b/>
          <w:bCs/>
          <w:sz w:val="28"/>
          <w:szCs w:val="28"/>
        </w:rPr>
        <w:lastRenderedPageBreak/>
        <w:t>Галузь (сектор) «Муніципальна інфраструктура та послуги»</w:t>
      </w:r>
      <w:r w:rsidRPr="0030646B">
        <w:rPr>
          <w:rFonts w:ascii="Times New Roman" w:hAnsi="Times New Roman" w:cs="Times New Roman"/>
          <w:sz w:val="28"/>
          <w:szCs w:val="28"/>
        </w:rPr>
        <w:t xml:space="preserve"> є однією з найважливіших складових життєдіяльності громади. Її головна мета – забезпечення комфортного, безпечного, енергоефективного та сучасного середовища для проживання мешканців, а також створення умов для сталого розвитку громади. </w:t>
      </w:r>
    </w:p>
    <w:p w14:paraId="464C7C97" w14:textId="5812CA7C" w:rsidR="003F27A1" w:rsidRPr="001C4DAE" w:rsidRDefault="0080145D" w:rsidP="00C11300">
      <w:pPr>
        <w:pStyle w:val="ac"/>
        <w:ind w:firstLine="708"/>
        <w:jc w:val="both"/>
        <w:rPr>
          <w:rFonts w:ascii="Times New Roman" w:hAnsi="Times New Roman" w:cs="Times New Roman"/>
          <w:sz w:val="28"/>
          <w:szCs w:val="28"/>
        </w:rPr>
      </w:pPr>
      <w:r w:rsidRPr="001C4DAE">
        <w:rPr>
          <w:rFonts w:ascii="Times New Roman" w:hAnsi="Times New Roman" w:cs="Times New Roman"/>
          <w:sz w:val="28"/>
          <w:szCs w:val="28"/>
        </w:rPr>
        <w:t xml:space="preserve">Одним із ключових напрямів є підвищення енергоефективності громадських будівель. </w:t>
      </w:r>
      <w:proofErr w:type="spellStart"/>
      <w:r w:rsidRPr="001C4DAE">
        <w:rPr>
          <w:rFonts w:ascii="Times New Roman" w:hAnsi="Times New Roman" w:cs="Times New Roman"/>
          <w:sz w:val="28"/>
          <w:szCs w:val="28"/>
        </w:rPr>
        <w:t>Енергоефективні</w:t>
      </w:r>
      <w:proofErr w:type="spellEnd"/>
      <w:r w:rsidRPr="001C4DAE">
        <w:rPr>
          <w:rFonts w:ascii="Times New Roman" w:hAnsi="Times New Roman" w:cs="Times New Roman"/>
          <w:sz w:val="28"/>
          <w:szCs w:val="28"/>
        </w:rPr>
        <w:t xml:space="preserve"> заходи включають </w:t>
      </w:r>
      <w:proofErr w:type="spellStart"/>
      <w:r w:rsidRPr="001C4DAE">
        <w:rPr>
          <w:rFonts w:ascii="Times New Roman" w:hAnsi="Times New Roman" w:cs="Times New Roman"/>
          <w:sz w:val="28"/>
          <w:szCs w:val="28"/>
        </w:rPr>
        <w:t>термомодернізацію</w:t>
      </w:r>
      <w:proofErr w:type="spellEnd"/>
      <w:r w:rsidRPr="001C4DAE">
        <w:rPr>
          <w:rFonts w:ascii="Times New Roman" w:hAnsi="Times New Roman" w:cs="Times New Roman"/>
          <w:sz w:val="28"/>
          <w:szCs w:val="28"/>
        </w:rPr>
        <w:t xml:space="preserve"> будівель, заміну вікон і дверей, утеплення фасадів, впровадження сучасних систем опалення, вентиляції та освітлення. Такі заходи не лише знижують витрати на енергоресурси, а й створюють безпечні та комфортні умови для перебування людей.</w:t>
      </w:r>
    </w:p>
    <w:p w14:paraId="2CE3FCE6" w14:textId="77777777" w:rsidR="003F27A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 Важливою складовою є розбудова та відновлення муніципальної інфраструктури, до якої входять дороги місцевого значення, </w:t>
      </w:r>
      <w:r w:rsidR="003F27A1">
        <w:rPr>
          <w:rFonts w:ascii="Times New Roman" w:hAnsi="Times New Roman" w:cs="Times New Roman"/>
          <w:sz w:val="28"/>
          <w:szCs w:val="28"/>
        </w:rPr>
        <w:t>водогони, водовідведення</w:t>
      </w:r>
      <w:r w:rsidRPr="0030646B">
        <w:rPr>
          <w:rFonts w:ascii="Times New Roman" w:hAnsi="Times New Roman" w:cs="Times New Roman"/>
          <w:sz w:val="28"/>
          <w:szCs w:val="28"/>
        </w:rPr>
        <w:t xml:space="preserve">, а також об’єкти благоустрою. Загалом, усі ці заходи спрямовані на покращення якості життя мешканців, зменшення експлуатаційних витрат, захист довкілля та підвищення інвестиційної привабливості території громади. </w:t>
      </w:r>
    </w:p>
    <w:p w14:paraId="04C17160" w14:textId="77777777" w:rsidR="001C4DAE" w:rsidRDefault="0080145D" w:rsidP="00C11300">
      <w:pPr>
        <w:pStyle w:val="ac"/>
        <w:ind w:firstLine="708"/>
        <w:jc w:val="both"/>
      </w:pPr>
      <w:r w:rsidRPr="001A2C77">
        <w:rPr>
          <w:rFonts w:ascii="Times New Roman" w:hAnsi="Times New Roman" w:cs="Times New Roman"/>
          <w:b/>
          <w:bCs/>
          <w:sz w:val="28"/>
          <w:szCs w:val="28"/>
        </w:rPr>
        <w:t>Галузь (сектор) «Освіта і наука»</w:t>
      </w:r>
      <w:r w:rsidRPr="0030646B">
        <w:rPr>
          <w:rFonts w:ascii="Times New Roman" w:hAnsi="Times New Roman" w:cs="Times New Roman"/>
          <w:sz w:val="28"/>
          <w:szCs w:val="28"/>
        </w:rPr>
        <w:t xml:space="preserve"> є фундаментом соціально-економічного розвитку громади. Основна мета сектора – створення доступної, якісної, безпечної, інклюзивної та сучасної системи освіти, здатної відповідати викликам сьогодення. Одним із ключових напрямів є модернізація закладів освіти, що включає капітальний та поточний ремонт </w:t>
      </w:r>
      <w:r w:rsidR="003F27A1">
        <w:rPr>
          <w:rFonts w:ascii="Times New Roman" w:hAnsi="Times New Roman" w:cs="Times New Roman"/>
          <w:sz w:val="28"/>
          <w:szCs w:val="28"/>
        </w:rPr>
        <w:t>закладів освіти</w:t>
      </w:r>
      <w:r w:rsidRPr="0030646B">
        <w:rPr>
          <w:rFonts w:ascii="Times New Roman" w:hAnsi="Times New Roman" w:cs="Times New Roman"/>
          <w:sz w:val="28"/>
          <w:szCs w:val="28"/>
        </w:rPr>
        <w:t xml:space="preserve">, </w:t>
      </w:r>
      <w:r w:rsidR="003F27A1">
        <w:rPr>
          <w:rFonts w:ascii="Times New Roman" w:hAnsi="Times New Roman" w:cs="Times New Roman"/>
          <w:sz w:val="28"/>
          <w:szCs w:val="28"/>
        </w:rPr>
        <w:t xml:space="preserve">будівництво та </w:t>
      </w:r>
      <w:r w:rsidRPr="0030646B">
        <w:rPr>
          <w:rFonts w:ascii="Times New Roman" w:hAnsi="Times New Roman" w:cs="Times New Roman"/>
          <w:sz w:val="28"/>
          <w:szCs w:val="28"/>
        </w:rPr>
        <w:t xml:space="preserve">реконструкцію приміщень, створення ресурсних кімнат, STEM-лабораторій, інклюзивно-ресурсних центрів, харчоблоків та спортивних залів. Зміцнення матеріально-технічної бази передбачає оновлення комп’ютерної техніки, меблів, навчального обладнання, спортивного інвентарю та цифрових засобів навчання. Особливий акцент зроблено на </w:t>
      </w:r>
      <w:proofErr w:type="spellStart"/>
      <w:r w:rsidRPr="0030646B">
        <w:rPr>
          <w:rFonts w:ascii="Times New Roman" w:hAnsi="Times New Roman" w:cs="Times New Roman"/>
          <w:sz w:val="28"/>
          <w:szCs w:val="28"/>
        </w:rPr>
        <w:t>інклюзивності</w:t>
      </w:r>
      <w:proofErr w:type="spellEnd"/>
      <w:r w:rsidRPr="0030646B">
        <w:rPr>
          <w:rFonts w:ascii="Times New Roman" w:hAnsi="Times New Roman" w:cs="Times New Roman"/>
          <w:sz w:val="28"/>
          <w:szCs w:val="28"/>
        </w:rPr>
        <w:t xml:space="preserve"> освіти – забезпеченні рівного доступу до якісного навчання для всіх дітей, зокрема дітей з особливими освітніми потребами.</w:t>
      </w:r>
      <w:r w:rsidR="001C4DAE" w:rsidRPr="001C4DAE">
        <w:t xml:space="preserve"> </w:t>
      </w:r>
    </w:p>
    <w:p w14:paraId="0F4DEF1A" w14:textId="77777777" w:rsidR="001C4DAE" w:rsidRDefault="001C4DAE" w:rsidP="00C11300">
      <w:pPr>
        <w:pStyle w:val="ac"/>
        <w:ind w:firstLine="708"/>
        <w:jc w:val="both"/>
        <w:rPr>
          <w:rFonts w:ascii="Times New Roman" w:hAnsi="Times New Roman" w:cs="Times New Roman"/>
          <w:sz w:val="28"/>
          <w:szCs w:val="28"/>
        </w:rPr>
      </w:pPr>
      <w:r w:rsidRPr="001C4DAE">
        <w:rPr>
          <w:rFonts w:ascii="Times New Roman" w:hAnsi="Times New Roman" w:cs="Times New Roman"/>
          <w:sz w:val="28"/>
          <w:szCs w:val="28"/>
        </w:rPr>
        <w:t>Невіддільним елементом забезпечення рівного доступу до знань є розвиток інфраструктури перевезення. Організація регулярного, безпечного та комфортного підвезення учнів і педагогічних працівників до місць навчання і назад — особливо у сільській місцевості — є ключовою умовою для подолання освітніх розривів.</w:t>
      </w:r>
      <w:r w:rsidR="0080145D" w:rsidRPr="0030646B">
        <w:rPr>
          <w:rFonts w:ascii="Times New Roman" w:hAnsi="Times New Roman" w:cs="Times New Roman"/>
          <w:sz w:val="28"/>
          <w:szCs w:val="28"/>
        </w:rPr>
        <w:t xml:space="preserve"> </w:t>
      </w:r>
    </w:p>
    <w:p w14:paraId="26B7FF1D" w14:textId="53D78D20" w:rsidR="003F27A1"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 Критично важливими для забезпечення безпеки учнів та персоналу, особливо умовах воєнного стану та надзвичайних ситуацій є будівництво захисних споруд в закладах освіти. Наявність захисних споруд у закладах освіти дозволяє забезпечити безпечне місце для учнів та працівників під час повітряних тривог та інших загроз, що дозволяє уникнути травм та загибелі, продовжувати освітній процес, хоча й з певними обмеженнями, в умовах, коли виникає загроза безпеці, допомагає зменшити рівень тривожності та стресу у дітей та персоналу. </w:t>
      </w:r>
    </w:p>
    <w:p w14:paraId="6C4C43FD" w14:textId="2587DB80" w:rsidR="001C4DAE" w:rsidRPr="001C4DAE" w:rsidRDefault="005A03C3" w:rsidP="001C4DAE">
      <w:pPr>
        <w:pStyle w:val="ac"/>
        <w:ind w:firstLine="708"/>
        <w:jc w:val="both"/>
        <w:rPr>
          <w:rFonts w:ascii="Times New Roman" w:hAnsi="Times New Roman" w:cs="Times New Roman"/>
          <w:b/>
          <w:bCs/>
        </w:rPr>
      </w:pPr>
      <w:r w:rsidRPr="005A03C3">
        <w:rPr>
          <w:rFonts w:ascii="Times New Roman" w:hAnsi="Times New Roman" w:cs="Times New Roman"/>
          <w:b/>
          <w:bCs/>
          <w:sz w:val="28"/>
          <w:szCs w:val="28"/>
        </w:rPr>
        <w:t>Галузь (сектор) «Громадська безпека»</w:t>
      </w:r>
      <w:r w:rsidR="001C4DAE">
        <w:rPr>
          <w:rFonts w:ascii="Times New Roman" w:hAnsi="Times New Roman" w:cs="Times New Roman"/>
          <w:sz w:val="28"/>
          <w:szCs w:val="28"/>
        </w:rPr>
        <w:t xml:space="preserve"> </w:t>
      </w:r>
      <w:r w:rsidR="001C4DAE" w:rsidRPr="001C4DAE">
        <w:rPr>
          <w:rFonts w:ascii="Times New Roman" w:hAnsi="Times New Roman" w:cs="Times New Roman"/>
          <w:sz w:val="28"/>
          <w:szCs w:val="28"/>
        </w:rPr>
        <w:t>охоплює комплекс заходів, спрямованих на всебічний захист населення, територій та критичної інфраструктури від негативних наслідків надзвичайних ситуацій природного, техногенного, воєнного та соціального характеру.</w:t>
      </w:r>
    </w:p>
    <w:p w14:paraId="44D93546" w14:textId="77777777" w:rsidR="001C4DAE" w:rsidRPr="001C4DAE" w:rsidRDefault="001C4DAE" w:rsidP="001C4DAE">
      <w:pPr>
        <w:pStyle w:val="ac"/>
        <w:ind w:firstLine="708"/>
        <w:jc w:val="both"/>
        <w:rPr>
          <w:rFonts w:ascii="Times New Roman" w:hAnsi="Times New Roman" w:cs="Times New Roman"/>
          <w:sz w:val="28"/>
          <w:szCs w:val="28"/>
        </w:rPr>
      </w:pPr>
      <w:r w:rsidRPr="001C4DAE">
        <w:rPr>
          <w:rFonts w:ascii="Times New Roman" w:hAnsi="Times New Roman" w:cs="Times New Roman"/>
          <w:sz w:val="28"/>
          <w:szCs w:val="28"/>
        </w:rPr>
        <w:t xml:space="preserve">Пріоритетними напрямами розвитку сектору є модернізація системи цивільного захисту через впровадження сучасних цифрових технологій </w:t>
      </w:r>
      <w:r w:rsidRPr="001C4DAE">
        <w:rPr>
          <w:rFonts w:ascii="Times New Roman" w:hAnsi="Times New Roman" w:cs="Times New Roman"/>
          <w:sz w:val="28"/>
          <w:szCs w:val="28"/>
        </w:rPr>
        <w:lastRenderedPageBreak/>
        <w:t>моніторингу та раннього оповіщення населення, а також підвищення загального рівня безпеки в громаді шляхом системної профілактики правопорушень.</w:t>
      </w:r>
    </w:p>
    <w:p w14:paraId="5BDD9BB7" w14:textId="77777777" w:rsidR="001C4DAE" w:rsidRPr="001C4DAE" w:rsidRDefault="001C4DAE" w:rsidP="001C4DAE">
      <w:pPr>
        <w:pStyle w:val="ac"/>
        <w:ind w:firstLine="708"/>
        <w:jc w:val="both"/>
        <w:rPr>
          <w:rFonts w:ascii="Times New Roman" w:hAnsi="Times New Roman" w:cs="Times New Roman"/>
          <w:sz w:val="28"/>
          <w:szCs w:val="28"/>
        </w:rPr>
      </w:pPr>
      <w:r w:rsidRPr="001C4DAE">
        <w:rPr>
          <w:rFonts w:ascii="Times New Roman" w:hAnsi="Times New Roman" w:cs="Times New Roman"/>
          <w:sz w:val="28"/>
          <w:szCs w:val="28"/>
        </w:rPr>
        <w:t>Особлива увага приділяється запровадженню ефективної моделі реагування на надзвичайні ситуації та створенню передумов для посилення громадської безпеки. Це передбачає консолідацію зусиль та розвиток єдиної просторової інфраструктури для оперативних і рятувальних служб безпосередньо в межах громади. Створення умов для спільного базування, швидкої координації та технічної взаємодії пожежно-рятувальних підрозділів, правоохоронних органів та служб екстреної допомоги дозволить радикально скоротити час їх прибуття до місця виклику у будь-якому населеному пункті громади.</w:t>
      </w:r>
    </w:p>
    <w:p w14:paraId="15D470FB" w14:textId="67FC80DC" w:rsidR="005A03C3" w:rsidRDefault="001C4DAE" w:rsidP="001C4DAE">
      <w:pPr>
        <w:pStyle w:val="ac"/>
        <w:ind w:firstLine="708"/>
        <w:jc w:val="both"/>
        <w:rPr>
          <w:rFonts w:ascii="Times New Roman" w:hAnsi="Times New Roman" w:cs="Times New Roman"/>
          <w:sz w:val="28"/>
          <w:szCs w:val="28"/>
        </w:rPr>
      </w:pPr>
      <w:r w:rsidRPr="001C4DAE">
        <w:rPr>
          <w:rFonts w:ascii="Times New Roman" w:hAnsi="Times New Roman" w:cs="Times New Roman"/>
          <w:sz w:val="28"/>
          <w:szCs w:val="28"/>
        </w:rPr>
        <w:t>Реалізація цих заходів дозволить забезпечити своєчасне й гарантоване інформування населення про загрози, підвищити мобілізаційну готовність громади до будь-яких кризових ситуацій, мінімізувати час реагування на надзвичайні події та суттєво знизити рівень злочинності. У підсумку це сприятиме формуванню стійкої культури безпеки, захисту життя і майна мешканців, а також зміцненню довіри громадян до служб порятунку та органів місцевого самоврядування.</w:t>
      </w:r>
    </w:p>
    <w:p w14:paraId="6E473BCA" w14:textId="77777777" w:rsidR="00B120BC" w:rsidRPr="00B120BC" w:rsidRDefault="00B120BC" w:rsidP="00B120BC">
      <w:pPr>
        <w:pStyle w:val="ac"/>
        <w:ind w:firstLine="708"/>
        <w:jc w:val="both"/>
        <w:rPr>
          <w:rFonts w:ascii="Times New Roman" w:hAnsi="Times New Roman" w:cs="Times New Roman"/>
          <w:sz w:val="28"/>
          <w:szCs w:val="28"/>
        </w:rPr>
      </w:pPr>
      <w:r w:rsidRPr="00B120BC">
        <w:rPr>
          <w:rFonts w:ascii="Times New Roman" w:hAnsi="Times New Roman" w:cs="Times New Roman"/>
          <w:b/>
          <w:bCs/>
          <w:sz w:val="28"/>
          <w:szCs w:val="28"/>
        </w:rPr>
        <w:t xml:space="preserve">Галузь (сектор) «Енергетика» </w:t>
      </w:r>
      <w:r w:rsidRPr="00B120BC">
        <w:rPr>
          <w:rFonts w:ascii="Times New Roman" w:hAnsi="Times New Roman" w:cs="Times New Roman"/>
          <w:sz w:val="28"/>
          <w:szCs w:val="28"/>
        </w:rPr>
        <w:t>в умовах воєнного стану набуває статусу критично важливого елемента національної безпеки та життєзабезпечення громади. Систематичні руйнування та загрози для об'єктів магістральної енергетичної системи України внаслідок ворожих обстрілів вимагають кардинальної зміни підходів до енергозабезпечення: переходу від повної залежності від централізованих мереж до створення гнучких, децентралізованих та автономних локальних систем.</w:t>
      </w:r>
    </w:p>
    <w:p w14:paraId="3DCDA813" w14:textId="77777777" w:rsidR="00B120BC" w:rsidRDefault="00B120BC" w:rsidP="00B120BC">
      <w:pPr>
        <w:pStyle w:val="ac"/>
        <w:ind w:firstLine="708"/>
        <w:jc w:val="both"/>
        <w:rPr>
          <w:rFonts w:ascii="Times New Roman" w:hAnsi="Times New Roman" w:cs="Times New Roman"/>
          <w:sz w:val="28"/>
          <w:szCs w:val="28"/>
        </w:rPr>
      </w:pPr>
      <w:r w:rsidRPr="00B120BC">
        <w:rPr>
          <w:rFonts w:ascii="Times New Roman" w:hAnsi="Times New Roman" w:cs="Times New Roman"/>
          <w:sz w:val="28"/>
          <w:szCs w:val="28"/>
        </w:rPr>
        <w:t xml:space="preserve">У цих екстремальних умовах безумовним пріоритетом є забезпечення енергетичної стійкості та живучості громади шляхом розгортання альтернативних джерел генерації на базі об'єктів бюджетної та комунальної сфери. Встановлення дахових сонячних електростанцій (СЕС), оснащених сучасними гібридними інверторами та системами накопичення і зберігання енергії, на будівлях медичних закладів, шкіл, дитячих садків, адмінбудівель та об'єктів ЖКГ більше не є виключно екологічним чи економічним проектом. Сьогодні це — критично необхідний захід пасивного захисту та цивільної стійкості, який гарантує безперебійне надання базових послуг мешканцям навіть у режимі повного </w:t>
      </w:r>
      <w:proofErr w:type="spellStart"/>
      <w:r w:rsidRPr="00B120BC">
        <w:rPr>
          <w:rFonts w:ascii="Times New Roman" w:hAnsi="Times New Roman" w:cs="Times New Roman"/>
          <w:sz w:val="28"/>
          <w:szCs w:val="28"/>
        </w:rPr>
        <w:t>блекауту</w:t>
      </w:r>
      <w:proofErr w:type="spellEnd"/>
      <w:r w:rsidRPr="00B120BC">
        <w:rPr>
          <w:rFonts w:ascii="Times New Roman" w:hAnsi="Times New Roman" w:cs="Times New Roman"/>
          <w:sz w:val="28"/>
          <w:szCs w:val="28"/>
        </w:rPr>
        <w:t>.</w:t>
      </w:r>
    </w:p>
    <w:p w14:paraId="77BD8D11" w14:textId="297A20BA" w:rsidR="00FE5C3A" w:rsidRPr="00FE5C3A" w:rsidRDefault="00B120BC" w:rsidP="00FE5C3A">
      <w:pPr>
        <w:pStyle w:val="ac"/>
        <w:ind w:firstLine="708"/>
        <w:jc w:val="both"/>
        <w:rPr>
          <w:b/>
          <w:bCs/>
          <w:sz w:val="28"/>
          <w:szCs w:val="28"/>
        </w:rPr>
      </w:pPr>
      <w:r w:rsidRPr="00B120BC">
        <w:rPr>
          <w:rFonts w:ascii="Times New Roman" w:hAnsi="Times New Roman" w:cs="Times New Roman"/>
          <w:b/>
          <w:bCs/>
          <w:sz w:val="28"/>
          <w:szCs w:val="28"/>
        </w:rPr>
        <w:t>Галузь (сектор) «Культура та інформація»</w:t>
      </w:r>
      <w:r w:rsidR="00FE5C3A" w:rsidRPr="00FE5C3A">
        <w:rPr>
          <w:rFonts w:ascii="Times New Roman" w:eastAsia="Times New Roman" w:hAnsi="Times New Roman" w:cs="Times New Roman"/>
          <w:b/>
          <w:bCs/>
          <w:kern w:val="0"/>
          <w:lang w:eastAsia="uk-UA"/>
          <w14:ligatures w14:val="none"/>
        </w:rPr>
        <w:t xml:space="preserve"> </w:t>
      </w:r>
      <w:r w:rsidR="00FE5C3A">
        <w:rPr>
          <w:rFonts w:ascii="Times New Roman" w:eastAsia="Times New Roman" w:hAnsi="Times New Roman" w:cs="Times New Roman"/>
          <w:b/>
          <w:bCs/>
          <w:kern w:val="0"/>
          <w:lang w:eastAsia="uk-UA"/>
          <w14:ligatures w14:val="none"/>
        </w:rPr>
        <w:t>.</w:t>
      </w:r>
    </w:p>
    <w:p w14:paraId="61EA556F" w14:textId="4D465331" w:rsidR="00B120BC" w:rsidRPr="00FE5C3A" w:rsidRDefault="00FE5C3A" w:rsidP="00FE5C3A">
      <w:pPr>
        <w:pStyle w:val="ac"/>
        <w:ind w:firstLine="708"/>
        <w:jc w:val="both"/>
        <w:rPr>
          <w:rFonts w:ascii="Times New Roman" w:hAnsi="Times New Roman" w:cs="Times New Roman"/>
          <w:sz w:val="28"/>
          <w:szCs w:val="28"/>
        </w:rPr>
      </w:pPr>
      <w:r w:rsidRPr="00FE5C3A">
        <w:rPr>
          <w:rFonts w:ascii="Times New Roman" w:hAnsi="Times New Roman" w:cs="Times New Roman"/>
          <w:sz w:val="28"/>
          <w:szCs w:val="28"/>
        </w:rPr>
        <w:t xml:space="preserve">В умовах воєнного стану заклади культури громади трансформуються у багатофункціональні простори солідарності, координації волонтерської діяльності та психосоціальної підтримки населення. Пріоритетним напрямом розвитку галузі є комплексна модернізація інфраструктури </w:t>
      </w:r>
      <w:proofErr w:type="spellStart"/>
      <w:r w:rsidRPr="00FE5C3A">
        <w:rPr>
          <w:rFonts w:ascii="Times New Roman" w:hAnsi="Times New Roman" w:cs="Times New Roman"/>
          <w:sz w:val="28"/>
          <w:szCs w:val="28"/>
        </w:rPr>
        <w:t>культурно-дозвіллєвих</w:t>
      </w:r>
      <w:proofErr w:type="spellEnd"/>
      <w:r w:rsidRPr="00FE5C3A">
        <w:rPr>
          <w:rFonts w:ascii="Times New Roman" w:hAnsi="Times New Roman" w:cs="Times New Roman"/>
          <w:sz w:val="28"/>
          <w:szCs w:val="28"/>
        </w:rPr>
        <w:t xml:space="preserve"> об'єктів для забезпечення їхньої безпеки, </w:t>
      </w:r>
      <w:proofErr w:type="spellStart"/>
      <w:r w:rsidRPr="00FE5C3A">
        <w:rPr>
          <w:rFonts w:ascii="Times New Roman" w:hAnsi="Times New Roman" w:cs="Times New Roman"/>
          <w:sz w:val="28"/>
          <w:szCs w:val="28"/>
        </w:rPr>
        <w:t>безбар'єрності</w:t>
      </w:r>
      <w:proofErr w:type="spellEnd"/>
      <w:r w:rsidRPr="00FE5C3A">
        <w:rPr>
          <w:rFonts w:ascii="Times New Roman" w:hAnsi="Times New Roman" w:cs="Times New Roman"/>
          <w:sz w:val="28"/>
          <w:szCs w:val="28"/>
        </w:rPr>
        <w:t xml:space="preserve"> та комунальної стійкості. Це передбачає оновлення внутрішніх інженерних мереж для підтримання належного мікроклімату й оптимізації енерговитрат, покращення санітарно-побутових умов та інклюзивності приміщень відповідно до сучасних стандартів доступності, а також оснащення закладів новітніми системами пасивного захисту й попередження техногенних загроз для гарантування безпеки відвідувачів та збереження майна громади.</w:t>
      </w:r>
    </w:p>
    <w:p w14:paraId="68916CDD" w14:textId="77777777" w:rsidR="00443602" w:rsidRDefault="0080145D" w:rsidP="00C11300">
      <w:pPr>
        <w:pStyle w:val="ac"/>
        <w:ind w:firstLine="708"/>
        <w:jc w:val="both"/>
        <w:rPr>
          <w:rFonts w:ascii="Times New Roman" w:hAnsi="Times New Roman" w:cs="Times New Roman"/>
          <w:sz w:val="28"/>
          <w:szCs w:val="28"/>
        </w:rPr>
      </w:pPr>
      <w:proofErr w:type="spellStart"/>
      <w:r w:rsidRPr="00443602">
        <w:rPr>
          <w:rFonts w:ascii="Times New Roman" w:hAnsi="Times New Roman" w:cs="Times New Roman"/>
          <w:i/>
          <w:iCs/>
          <w:sz w:val="28"/>
          <w:szCs w:val="28"/>
        </w:rPr>
        <w:lastRenderedPageBreak/>
        <w:t>Підсектори</w:t>
      </w:r>
      <w:proofErr w:type="spellEnd"/>
      <w:r w:rsidRPr="00443602">
        <w:rPr>
          <w:rFonts w:ascii="Times New Roman" w:hAnsi="Times New Roman" w:cs="Times New Roman"/>
          <w:i/>
          <w:iCs/>
          <w:sz w:val="28"/>
          <w:szCs w:val="28"/>
        </w:rPr>
        <w:t xml:space="preserve"> галузей (секторів) для публічного інвестування</w:t>
      </w:r>
      <w:r w:rsidRPr="0030646B">
        <w:rPr>
          <w:rFonts w:ascii="Times New Roman" w:hAnsi="Times New Roman" w:cs="Times New Roman"/>
          <w:sz w:val="28"/>
          <w:szCs w:val="28"/>
        </w:rPr>
        <w:t xml:space="preserve"> </w:t>
      </w:r>
    </w:p>
    <w:p w14:paraId="5A084F94" w14:textId="77777777" w:rsidR="00443602" w:rsidRDefault="0080145D" w:rsidP="00C11300">
      <w:pPr>
        <w:pStyle w:val="ac"/>
        <w:ind w:firstLine="708"/>
        <w:jc w:val="both"/>
        <w:rPr>
          <w:rFonts w:ascii="Times New Roman" w:hAnsi="Times New Roman" w:cs="Times New Roman"/>
          <w:sz w:val="28"/>
          <w:szCs w:val="28"/>
        </w:rPr>
      </w:pPr>
      <w:proofErr w:type="spellStart"/>
      <w:r w:rsidRPr="0030646B">
        <w:rPr>
          <w:rFonts w:ascii="Times New Roman" w:hAnsi="Times New Roman" w:cs="Times New Roman"/>
          <w:sz w:val="28"/>
          <w:szCs w:val="28"/>
        </w:rPr>
        <w:t>Підсектори</w:t>
      </w:r>
      <w:proofErr w:type="spellEnd"/>
      <w:r w:rsidRPr="0030646B">
        <w:rPr>
          <w:rFonts w:ascii="Times New Roman" w:hAnsi="Times New Roman" w:cs="Times New Roman"/>
          <w:sz w:val="28"/>
          <w:szCs w:val="28"/>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держави. Їх визначення дозволяє деталізувати пріоритети та оптимізувати використання бюджетних коштів. </w:t>
      </w:r>
    </w:p>
    <w:p w14:paraId="6F502C00" w14:textId="77777777" w:rsidR="00443602"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У межах кожної пріоритетної галузі (сектору) для публічного інвестування формуються </w:t>
      </w:r>
      <w:proofErr w:type="spellStart"/>
      <w:r w:rsidRPr="0030646B">
        <w:rPr>
          <w:rFonts w:ascii="Times New Roman" w:hAnsi="Times New Roman" w:cs="Times New Roman"/>
          <w:sz w:val="28"/>
          <w:szCs w:val="28"/>
        </w:rPr>
        <w:t>підсектори</w:t>
      </w:r>
      <w:proofErr w:type="spellEnd"/>
      <w:r w:rsidRPr="0030646B">
        <w:rPr>
          <w:rFonts w:ascii="Times New Roman" w:hAnsi="Times New Roman" w:cs="Times New Roman"/>
          <w:sz w:val="28"/>
          <w:szCs w:val="28"/>
        </w:rPr>
        <w:t xml:space="preserve">, що відображають ключові напрями розвитку, які потребують публічних інвестицій. </w:t>
      </w:r>
    </w:p>
    <w:p w14:paraId="478F84D0" w14:textId="77777777" w:rsidR="00443602" w:rsidRDefault="0080145D" w:rsidP="00C11300">
      <w:pPr>
        <w:pStyle w:val="ac"/>
        <w:ind w:firstLine="708"/>
        <w:jc w:val="both"/>
        <w:rPr>
          <w:rFonts w:ascii="Times New Roman" w:hAnsi="Times New Roman" w:cs="Times New Roman"/>
          <w:sz w:val="28"/>
          <w:szCs w:val="28"/>
        </w:rPr>
      </w:pPr>
      <w:proofErr w:type="spellStart"/>
      <w:r w:rsidRPr="0030646B">
        <w:rPr>
          <w:rFonts w:ascii="Times New Roman" w:hAnsi="Times New Roman" w:cs="Times New Roman"/>
          <w:sz w:val="28"/>
          <w:szCs w:val="28"/>
        </w:rPr>
        <w:t>Підсектори</w:t>
      </w:r>
      <w:proofErr w:type="spellEnd"/>
      <w:r w:rsidRPr="0030646B">
        <w:rPr>
          <w:rFonts w:ascii="Times New Roman" w:hAnsi="Times New Roman" w:cs="Times New Roman"/>
          <w:sz w:val="28"/>
          <w:szCs w:val="28"/>
        </w:rPr>
        <w:t xml:space="preserve"> є важливими аналітичними одиницями, які сприяють реалізації Стратегії розвитку громади та забезпечують впровадження інтегрованого підходу до управління публічними інвестиціями. </w:t>
      </w:r>
    </w:p>
    <w:p w14:paraId="615985A2" w14:textId="2EA31D07" w:rsidR="00443602" w:rsidRDefault="0080145D" w:rsidP="00C11300">
      <w:pPr>
        <w:pStyle w:val="ac"/>
        <w:ind w:firstLine="708"/>
        <w:jc w:val="both"/>
        <w:rPr>
          <w:rFonts w:ascii="Times New Roman" w:hAnsi="Times New Roman" w:cs="Times New Roman"/>
          <w:sz w:val="28"/>
          <w:szCs w:val="28"/>
        </w:rPr>
      </w:pPr>
      <w:r w:rsidRPr="00443602">
        <w:rPr>
          <w:rFonts w:ascii="Times New Roman" w:hAnsi="Times New Roman" w:cs="Times New Roman"/>
          <w:i/>
          <w:iCs/>
          <w:sz w:val="28"/>
          <w:szCs w:val="28"/>
        </w:rPr>
        <w:t>Основні напрями публічного інвестування</w:t>
      </w:r>
    </w:p>
    <w:p w14:paraId="3EC9C359" w14:textId="77777777" w:rsidR="00443602"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 Основні напрями публічного інвестування узгоджуються із завданнями Державної стратегії регіонального розвитку України, галузевої (секторальної) стратегії та стратегії розвитку громади у розрізі сфер державної політики, регіонів і територій та мають найвищий рівень пріоритетності серед інших напрямів відповідної галузі (сектору) для отримання фінансування. </w:t>
      </w:r>
    </w:p>
    <w:p w14:paraId="5291D857" w14:textId="77777777" w:rsidR="001B35CA"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Формування основних напрямів публічного інвестування здійснювалось </w:t>
      </w:r>
      <w:r w:rsidR="00443602">
        <w:rPr>
          <w:rFonts w:ascii="Times New Roman" w:hAnsi="Times New Roman" w:cs="Times New Roman"/>
          <w:sz w:val="28"/>
          <w:szCs w:val="28"/>
        </w:rPr>
        <w:t>відділом</w:t>
      </w:r>
      <w:r w:rsidRPr="0030646B">
        <w:rPr>
          <w:rFonts w:ascii="Times New Roman" w:hAnsi="Times New Roman" w:cs="Times New Roman"/>
          <w:sz w:val="28"/>
          <w:szCs w:val="28"/>
        </w:rPr>
        <w:t xml:space="preserve"> економічного розвитку </w:t>
      </w:r>
      <w:r w:rsidR="00443602">
        <w:rPr>
          <w:rFonts w:ascii="Times New Roman" w:hAnsi="Times New Roman" w:cs="Times New Roman"/>
          <w:sz w:val="28"/>
          <w:szCs w:val="28"/>
        </w:rPr>
        <w:t>та інвестицій виконавчого комітету Білозірської сіль</w:t>
      </w:r>
      <w:r w:rsidRPr="0030646B">
        <w:rPr>
          <w:rFonts w:ascii="Times New Roman" w:hAnsi="Times New Roman" w:cs="Times New Roman"/>
          <w:sz w:val="28"/>
          <w:szCs w:val="28"/>
        </w:rPr>
        <w:t xml:space="preserve">ської ради на основі пропозицій виконавчих органів </w:t>
      </w:r>
      <w:r w:rsidR="00443602">
        <w:rPr>
          <w:rFonts w:ascii="Times New Roman" w:hAnsi="Times New Roman" w:cs="Times New Roman"/>
          <w:sz w:val="28"/>
          <w:szCs w:val="28"/>
        </w:rPr>
        <w:t>сіль</w:t>
      </w:r>
      <w:r w:rsidRPr="0030646B">
        <w:rPr>
          <w:rFonts w:ascii="Times New Roman" w:hAnsi="Times New Roman" w:cs="Times New Roman"/>
          <w:sz w:val="28"/>
          <w:szCs w:val="28"/>
        </w:rPr>
        <w:t xml:space="preserve">ської ради, відповідальних за галузі (сектори) для публічного інвестування з урахуванням завдань, визначених стратегією розвитку громади, галузевою (секторальною) стратегією, Державною стратегією регіонального розвитку України (як </w:t>
      </w:r>
      <w:proofErr w:type="spellStart"/>
      <w:r w:rsidRPr="0030646B">
        <w:rPr>
          <w:rFonts w:ascii="Times New Roman" w:hAnsi="Times New Roman" w:cs="Times New Roman"/>
          <w:sz w:val="28"/>
          <w:szCs w:val="28"/>
        </w:rPr>
        <w:t>кроссекторальною</w:t>
      </w:r>
      <w:proofErr w:type="spellEnd"/>
      <w:r w:rsidRPr="0030646B">
        <w:rPr>
          <w:rFonts w:ascii="Times New Roman" w:hAnsi="Times New Roman" w:cs="Times New Roman"/>
          <w:sz w:val="28"/>
          <w:szCs w:val="28"/>
        </w:rPr>
        <w:t xml:space="preserve"> стратегією), а також з урахуванням наявності діючих проєктів за відповідними напрямами. </w:t>
      </w:r>
    </w:p>
    <w:p w14:paraId="72429F60" w14:textId="77777777" w:rsidR="001B35CA"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Виконавчими органами </w:t>
      </w:r>
      <w:r w:rsidR="001B35CA">
        <w:rPr>
          <w:rFonts w:ascii="Times New Roman" w:hAnsi="Times New Roman" w:cs="Times New Roman"/>
          <w:sz w:val="28"/>
          <w:szCs w:val="28"/>
        </w:rPr>
        <w:t>сіль</w:t>
      </w:r>
      <w:r w:rsidRPr="0030646B">
        <w:rPr>
          <w:rFonts w:ascii="Times New Roman" w:hAnsi="Times New Roman" w:cs="Times New Roman"/>
          <w:sz w:val="28"/>
          <w:szCs w:val="28"/>
        </w:rPr>
        <w:t xml:space="preserve">ської ради, відповідальними за галузі (сектори) для публічного інвестування, було подано до </w:t>
      </w:r>
      <w:r w:rsidR="001B35CA">
        <w:rPr>
          <w:rFonts w:ascii="Times New Roman" w:hAnsi="Times New Roman" w:cs="Times New Roman"/>
          <w:sz w:val="28"/>
          <w:szCs w:val="28"/>
        </w:rPr>
        <w:t xml:space="preserve">відділу </w:t>
      </w:r>
      <w:r w:rsidRPr="0030646B">
        <w:rPr>
          <w:rFonts w:ascii="Times New Roman" w:hAnsi="Times New Roman" w:cs="Times New Roman"/>
          <w:sz w:val="28"/>
          <w:szCs w:val="28"/>
        </w:rPr>
        <w:t xml:space="preserve"> економічного розвитку</w:t>
      </w:r>
      <w:r w:rsidR="001B35CA">
        <w:rPr>
          <w:rFonts w:ascii="Times New Roman" w:hAnsi="Times New Roman" w:cs="Times New Roman"/>
          <w:sz w:val="28"/>
          <w:szCs w:val="28"/>
        </w:rPr>
        <w:t xml:space="preserve"> та інвестицій виконавчого комітету Білозірської</w:t>
      </w:r>
      <w:r w:rsidRPr="0030646B">
        <w:rPr>
          <w:rFonts w:ascii="Times New Roman" w:hAnsi="Times New Roman" w:cs="Times New Roman"/>
          <w:sz w:val="28"/>
          <w:szCs w:val="28"/>
        </w:rPr>
        <w:t xml:space="preserve"> </w:t>
      </w:r>
      <w:r w:rsidR="001B35CA">
        <w:rPr>
          <w:rFonts w:ascii="Times New Roman" w:hAnsi="Times New Roman" w:cs="Times New Roman"/>
          <w:sz w:val="28"/>
          <w:szCs w:val="28"/>
        </w:rPr>
        <w:t>сіль</w:t>
      </w:r>
      <w:r w:rsidRPr="0030646B">
        <w:rPr>
          <w:rFonts w:ascii="Times New Roman" w:hAnsi="Times New Roman" w:cs="Times New Roman"/>
          <w:sz w:val="28"/>
          <w:szCs w:val="28"/>
        </w:rPr>
        <w:t xml:space="preserve">ської ради </w:t>
      </w:r>
      <w:r w:rsidR="001B35CA">
        <w:rPr>
          <w:rFonts w:ascii="Times New Roman" w:hAnsi="Times New Roman" w:cs="Times New Roman"/>
          <w:sz w:val="28"/>
          <w:szCs w:val="28"/>
        </w:rPr>
        <w:t>34</w:t>
      </w:r>
      <w:r w:rsidRPr="0030646B">
        <w:rPr>
          <w:rFonts w:ascii="Times New Roman" w:hAnsi="Times New Roman" w:cs="Times New Roman"/>
          <w:sz w:val="28"/>
          <w:szCs w:val="28"/>
        </w:rPr>
        <w:t xml:space="preserve"> пропозицій до середньострокового плану, що містили 8 напрямів для публічного інвестування, з них </w:t>
      </w:r>
      <w:r w:rsidR="001B35CA">
        <w:rPr>
          <w:rFonts w:ascii="Times New Roman" w:hAnsi="Times New Roman" w:cs="Times New Roman"/>
          <w:sz w:val="28"/>
          <w:szCs w:val="28"/>
        </w:rPr>
        <w:t>6</w:t>
      </w:r>
      <w:r w:rsidRPr="0030646B">
        <w:rPr>
          <w:rFonts w:ascii="Times New Roman" w:hAnsi="Times New Roman" w:cs="Times New Roman"/>
          <w:sz w:val="28"/>
          <w:szCs w:val="28"/>
        </w:rPr>
        <w:t xml:space="preserve"> визначено основними та включено в додаток 1 до середньострокового плану (додається), </w:t>
      </w:r>
      <w:r w:rsidR="001B35CA">
        <w:rPr>
          <w:rFonts w:ascii="Times New Roman" w:hAnsi="Times New Roman" w:cs="Times New Roman"/>
          <w:sz w:val="28"/>
          <w:szCs w:val="28"/>
        </w:rPr>
        <w:t>4</w:t>
      </w:r>
      <w:r w:rsidRPr="0030646B">
        <w:rPr>
          <w:rFonts w:ascii="Times New Roman" w:hAnsi="Times New Roman" w:cs="Times New Roman"/>
          <w:sz w:val="28"/>
          <w:szCs w:val="28"/>
        </w:rPr>
        <w:t xml:space="preserve"> напрями для публічного інвестування відображені у додатку 2 (додається). Решта напрямів не є публічними інвестиціями у розумінні Бюджетного кодексу України та не увійшли до середньострокового плану пріоритетних публічних інвестицій </w:t>
      </w:r>
      <w:r w:rsidR="001B35CA">
        <w:rPr>
          <w:rFonts w:ascii="Times New Roman" w:hAnsi="Times New Roman" w:cs="Times New Roman"/>
          <w:sz w:val="28"/>
          <w:szCs w:val="28"/>
        </w:rPr>
        <w:t>Білозір</w:t>
      </w:r>
      <w:r w:rsidRPr="0030646B">
        <w:rPr>
          <w:rFonts w:ascii="Times New Roman" w:hAnsi="Times New Roman" w:cs="Times New Roman"/>
          <w:sz w:val="28"/>
          <w:szCs w:val="28"/>
        </w:rPr>
        <w:t xml:space="preserve">ської </w:t>
      </w:r>
      <w:r w:rsidR="001B35CA">
        <w:rPr>
          <w:rFonts w:ascii="Times New Roman" w:hAnsi="Times New Roman" w:cs="Times New Roman"/>
          <w:sz w:val="28"/>
          <w:szCs w:val="28"/>
        </w:rPr>
        <w:t>сіль</w:t>
      </w:r>
      <w:r w:rsidRPr="0030646B">
        <w:rPr>
          <w:rFonts w:ascii="Times New Roman" w:hAnsi="Times New Roman" w:cs="Times New Roman"/>
          <w:sz w:val="28"/>
          <w:szCs w:val="28"/>
        </w:rPr>
        <w:t xml:space="preserve">ської територіальної громади. </w:t>
      </w:r>
    </w:p>
    <w:p w14:paraId="0758EDC7" w14:textId="77777777" w:rsidR="001B35CA" w:rsidRDefault="0080145D" w:rsidP="00C11300">
      <w:pPr>
        <w:pStyle w:val="ac"/>
        <w:ind w:firstLine="708"/>
        <w:jc w:val="both"/>
        <w:rPr>
          <w:rFonts w:ascii="Times New Roman" w:hAnsi="Times New Roman" w:cs="Times New Roman"/>
          <w:sz w:val="28"/>
          <w:szCs w:val="28"/>
        </w:rPr>
      </w:pPr>
      <w:r w:rsidRPr="001B35CA">
        <w:rPr>
          <w:rFonts w:ascii="Times New Roman" w:hAnsi="Times New Roman" w:cs="Times New Roman"/>
          <w:i/>
          <w:iCs/>
          <w:sz w:val="28"/>
          <w:szCs w:val="28"/>
        </w:rPr>
        <w:t xml:space="preserve"> Фінансова структура публічних інвестицій</w:t>
      </w:r>
      <w:r w:rsidRPr="0030646B">
        <w:rPr>
          <w:rFonts w:ascii="Times New Roman" w:hAnsi="Times New Roman" w:cs="Times New Roman"/>
          <w:sz w:val="28"/>
          <w:szCs w:val="28"/>
        </w:rPr>
        <w:t xml:space="preserve"> </w:t>
      </w:r>
    </w:p>
    <w:p w14:paraId="7942BBA2" w14:textId="2C005711" w:rsidR="001B35CA"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Орієнтовний граничний сукупний обсяг публічних інвестицій на 202</w:t>
      </w:r>
      <w:r w:rsidR="001B35CA">
        <w:rPr>
          <w:rFonts w:ascii="Times New Roman" w:hAnsi="Times New Roman" w:cs="Times New Roman"/>
          <w:sz w:val="28"/>
          <w:szCs w:val="28"/>
        </w:rPr>
        <w:t>7</w:t>
      </w:r>
      <w:r w:rsidRPr="0030646B">
        <w:rPr>
          <w:rFonts w:ascii="Times New Roman" w:hAnsi="Times New Roman" w:cs="Times New Roman"/>
          <w:sz w:val="28"/>
          <w:szCs w:val="28"/>
        </w:rPr>
        <w:t>–202</w:t>
      </w:r>
      <w:r w:rsidR="001B35CA">
        <w:rPr>
          <w:rFonts w:ascii="Times New Roman" w:hAnsi="Times New Roman" w:cs="Times New Roman"/>
          <w:sz w:val="28"/>
          <w:szCs w:val="28"/>
        </w:rPr>
        <w:t>9</w:t>
      </w:r>
      <w:r w:rsidRPr="0030646B">
        <w:rPr>
          <w:rFonts w:ascii="Times New Roman" w:hAnsi="Times New Roman" w:cs="Times New Roman"/>
          <w:sz w:val="28"/>
          <w:szCs w:val="28"/>
        </w:rPr>
        <w:t xml:space="preserve"> роки в розрізі джерел фінансового забезпечення та за роками становить:</w:t>
      </w:r>
      <w:r w:rsidR="003D1372">
        <w:rPr>
          <w:rFonts w:ascii="Times New Roman" w:hAnsi="Times New Roman" w:cs="Times New Roman"/>
          <w:sz w:val="28"/>
          <w:szCs w:val="28"/>
        </w:rPr>
        <w:t xml:space="preserve"> тис. грн.</w:t>
      </w:r>
    </w:p>
    <w:tbl>
      <w:tblPr>
        <w:tblStyle w:val="ae"/>
        <w:tblW w:w="0" w:type="auto"/>
        <w:tblLook w:val="04A0" w:firstRow="1" w:lastRow="0" w:firstColumn="1" w:lastColumn="0" w:noHBand="0" w:noVBand="1"/>
      </w:tblPr>
      <w:tblGrid>
        <w:gridCol w:w="1926"/>
        <w:gridCol w:w="2322"/>
        <w:gridCol w:w="1843"/>
        <w:gridCol w:w="1842"/>
        <w:gridCol w:w="1696"/>
      </w:tblGrid>
      <w:tr w:rsidR="00C43703" w14:paraId="1BEFE90C" w14:textId="77777777" w:rsidTr="00C43703">
        <w:tc>
          <w:tcPr>
            <w:tcW w:w="1926" w:type="dxa"/>
          </w:tcPr>
          <w:p w14:paraId="36965164" w14:textId="3E3508C5"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Орієнтовні граничні показники</w:t>
            </w:r>
          </w:p>
        </w:tc>
        <w:tc>
          <w:tcPr>
            <w:tcW w:w="2322" w:type="dxa"/>
          </w:tcPr>
          <w:p w14:paraId="43DE0124" w14:textId="77777777" w:rsidR="00C43703" w:rsidRDefault="003D1372" w:rsidP="003D1372">
            <w:pPr>
              <w:pStyle w:val="ac"/>
              <w:jc w:val="center"/>
              <w:rPr>
                <w:rFonts w:ascii="Times New Roman" w:hAnsi="Times New Roman" w:cs="Times New Roman"/>
                <w:sz w:val="28"/>
                <w:szCs w:val="28"/>
              </w:rPr>
            </w:pPr>
            <w:r>
              <w:rPr>
                <w:rFonts w:ascii="Times New Roman" w:hAnsi="Times New Roman" w:cs="Times New Roman"/>
                <w:sz w:val="28"/>
                <w:szCs w:val="28"/>
              </w:rPr>
              <w:t>2027 рік</w:t>
            </w:r>
          </w:p>
          <w:p w14:paraId="3FBD2D97" w14:textId="1E59F727" w:rsidR="003D1372" w:rsidRDefault="003D1372" w:rsidP="003D1372">
            <w:pPr>
              <w:pStyle w:val="ac"/>
              <w:jc w:val="center"/>
              <w:rPr>
                <w:rFonts w:ascii="Times New Roman" w:hAnsi="Times New Roman" w:cs="Times New Roman"/>
                <w:sz w:val="28"/>
                <w:szCs w:val="28"/>
              </w:rPr>
            </w:pPr>
            <w:r>
              <w:rPr>
                <w:rFonts w:ascii="Times New Roman" w:hAnsi="Times New Roman" w:cs="Times New Roman"/>
                <w:sz w:val="28"/>
                <w:szCs w:val="28"/>
              </w:rPr>
              <w:t>(прогноз)</w:t>
            </w:r>
          </w:p>
        </w:tc>
        <w:tc>
          <w:tcPr>
            <w:tcW w:w="1843" w:type="dxa"/>
          </w:tcPr>
          <w:p w14:paraId="409EEE61" w14:textId="3C2B706D" w:rsidR="003D1372" w:rsidRPr="003D1372" w:rsidRDefault="003D1372" w:rsidP="003D1372">
            <w:pPr>
              <w:pStyle w:val="ac"/>
              <w:jc w:val="both"/>
              <w:rPr>
                <w:rFonts w:ascii="Times New Roman" w:hAnsi="Times New Roman" w:cs="Times New Roman"/>
                <w:sz w:val="28"/>
                <w:szCs w:val="28"/>
              </w:rPr>
            </w:pPr>
            <w:r w:rsidRPr="003D1372">
              <w:rPr>
                <w:rFonts w:ascii="Times New Roman" w:hAnsi="Times New Roman" w:cs="Times New Roman"/>
                <w:sz w:val="28"/>
                <w:szCs w:val="28"/>
              </w:rPr>
              <w:t>202</w:t>
            </w:r>
            <w:r>
              <w:rPr>
                <w:rFonts w:ascii="Times New Roman" w:hAnsi="Times New Roman" w:cs="Times New Roman"/>
                <w:sz w:val="28"/>
                <w:szCs w:val="28"/>
              </w:rPr>
              <w:t>8</w:t>
            </w:r>
            <w:r w:rsidRPr="003D1372">
              <w:rPr>
                <w:rFonts w:ascii="Times New Roman" w:hAnsi="Times New Roman" w:cs="Times New Roman"/>
                <w:sz w:val="28"/>
                <w:szCs w:val="28"/>
              </w:rPr>
              <w:t xml:space="preserve"> рік</w:t>
            </w:r>
          </w:p>
          <w:p w14:paraId="578ABF8A" w14:textId="2C2BDF39" w:rsidR="00C43703" w:rsidRDefault="003D1372" w:rsidP="003D1372">
            <w:pPr>
              <w:pStyle w:val="ac"/>
              <w:jc w:val="both"/>
              <w:rPr>
                <w:rFonts w:ascii="Times New Roman" w:hAnsi="Times New Roman" w:cs="Times New Roman"/>
                <w:sz w:val="28"/>
                <w:szCs w:val="28"/>
              </w:rPr>
            </w:pPr>
            <w:r w:rsidRPr="003D1372">
              <w:rPr>
                <w:rFonts w:ascii="Times New Roman" w:hAnsi="Times New Roman" w:cs="Times New Roman"/>
                <w:sz w:val="28"/>
                <w:szCs w:val="28"/>
              </w:rPr>
              <w:t>(прогноз)</w:t>
            </w:r>
          </w:p>
        </w:tc>
        <w:tc>
          <w:tcPr>
            <w:tcW w:w="1842" w:type="dxa"/>
          </w:tcPr>
          <w:p w14:paraId="5E8DC99E" w14:textId="2B14CAFF" w:rsidR="003D1372" w:rsidRPr="003D1372" w:rsidRDefault="003D1372" w:rsidP="003D1372">
            <w:pPr>
              <w:pStyle w:val="ac"/>
              <w:jc w:val="both"/>
              <w:rPr>
                <w:rFonts w:ascii="Times New Roman" w:hAnsi="Times New Roman" w:cs="Times New Roman"/>
                <w:sz w:val="28"/>
                <w:szCs w:val="28"/>
              </w:rPr>
            </w:pPr>
            <w:r w:rsidRPr="003D1372">
              <w:rPr>
                <w:rFonts w:ascii="Times New Roman" w:hAnsi="Times New Roman" w:cs="Times New Roman"/>
                <w:sz w:val="28"/>
                <w:szCs w:val="28"/>
              </w:rPr>
              <w:t>202</w:t>
            </w:r>
            <w:r>
              <w:rPr>
                <w:rFonts w:ascii="Times New Roman" w:hAnsi="Times New Roman" w:cs="Times New Roman"/>
                <w:sz w:val="28"/>
                <w:szCs w:val="28"/>
              </w:rPr>
              <w:t>9</w:t>
            </w:r>
            <w:r w:rsidRPr="003D1372">
              <w:rPr>
                <w:rFonts w:ascii="Times New Roman" w:hAnsi="Times New Roman" w:cs="Times New Roman"/>
                <w:sz w:val="28"/>
                <w:szCs w:val="28"/>
              </w:rPr>
              <w:t xml:space="preserve"> рік</w:t>
            </w:r>
          </w:p>
          <w:p w14:paraId="65E5CC27" w14:textId="007C904A" w:rsidR="00C43703" w:rsidRDefault="003D1372" w:rsidP="003D1372">
            <w:pPr>
              <w:pStyle w:val="ac"/>
              <w:jc w:val="both"/>
              <w:rPr>
                <w:rFonts w:ascii="Times New Roman" w:hAnsi="Times New Roman" w:cs="Times New Roman"/>
                <w:sz w:val="28"/>
                <w:szCs w:val="28"/>
              </w:rPr>
            </w:pPr>
            <w:r w:rsidRPr="003D1372">
              <w:rPr>
                <w:rFonts w:ascii="Times New Roman" w:hAnsi="Times New Roman" w:cs="Times New Roman"/>
                <w:sz w:val="28"/>
                <w:szCs w:val="28"/>
              </w:rPr>
              <w:t>(прогноз)</w:t>
            </w:r>
          </w:p>
        </w:tc>
        <w:tc>
          <w:tcPr>
            <w:tcW w:w="1696" w:type="dxa"/>
          </w:tcPr>
          <w:p w14:paraId="00E2E821" w14:textId="3C44DFBB"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Разом 2027-2029 роки (прогноз)</w:t>
            </w:r>
          </w:p>
        </w:tc>
      </w:tr>
      <w:tr w:rsidR="00C43703" w14:paraId="5E4DA6DF" w14:textId="77777777" w:rsidTr="00C43703">
        <w:tc>
          <w:tcPr>
            <w:tcW w:w="1926" w:type="dxa"/>
          </w:tcPr>
          <w:p w14:paraId="5DCC2788" w14:textId="63451A5A"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Кошти місцевого бюджету</w:t>
            </w:r>
          </w:p>
        </w:tc>
        <w:tc>
          <w:tcPr>
            <w:tcW w:w="2322" w:type="dxa"/>
          </w:tcPr>
          <w:p w14:paraId="7C157E42" w14:textId="3A8F5D66"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5</w:t>
            </w:r>
            <w:r w:rsidR="00404E5F">
              <w:rPr>
                <w:rFonts w:ascii="Times New Roman" w:hAnsi="Times New Roman" w:cs="Times New Roman"/>
                <w:sz w:val="28"/>
                <w:szCs w:val="28"/>
              </w:rPr>
              <w:t>3</w:t>
            </w:r>
            <w:r>
              <w:rPr>
                <w:rFonts w:ascii="Times New Roman" w:hAnsi="Times New Roman" w:cs="Times New Roman"/>
                <w:sz w:val="28"/>
                <w:szCs w:val="28"/>
              </w:rPr>
              <w:t>00,0</w:t>
            </w:r>
          </w:p>
        </w:tc>
        <w:tc>
          <w:tcPr>
            <w:tcW w:w="1843" w:type="dxa"/>
          </w:tcPr>
          <w:p w14:paraId="5F999712" w14:textId="6EE16BBA"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5000,0</w:t>
            </w:r>
          </w:p>
        </w:tc>
        <w:tc>
          <w:tcPr>
            <w:tcW w:w="1842" w:type="dxa"/>
          </w:tcPr>
          <w:p w14:paraId="19887823" w14:textId="4C08563E"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5</w:t>
            </w:r>
            <w:r w:rsidR="00D22A60">
              <w:rPr>
                <w:rFonts w:ascii="Times New Roman" w:hAnsi="Times New Roman" w:cs="Times New Roman"/>
                <w:sz w:val="28"/>
                <w:szCs w:val="28"/>
              </w:rPr>
              <w:t>8</w:t>
            </w:r>
            <w:r>
              <w:rPr>
                <w:rFonts w:ascii="Times New Roman" w:hAnsi="Times New Roman" w:cs="Times New Roman"/>
                <w:sz w:val="28"/>
                <w:szCs w:val="28"/>
              </w:rPr>
              <w:t>00,0</w:t>
            </w:r>
          </w:p>
        </w:tc>
        <w:tc>
          <w:tcPr>
            <w:tcW w:w="1696" w:type="dxa"/>
          </w:tcPr>
          <w:p w14:paraId="2245795D" w14:textId="3DEBDC33" w:rsidR="00C43703" w:rsidRDefault="003D1372" w:rsidP="00C11300">
            <w:pPr>
              <w:pStyle w:val="ac"/>
              <w:jc w:val="both"/>
              <w:rPr>
                <w:rFonts w:ascii="Times New Roman" w:hAnsi="Times New Roman" w:cs="Times New Roman"/>
                <w:sz w:val="28"/>
                <w:szCs w:val="28"/>
              </w:rPr>
            </w:pPr>
            <w:r>
              <w:rPr>
                <w:rFonts w:ascii="Times New Roman" w:hAnsi="Times New Roman" w:cs="Times New Roman"/>
                <w:sz w:val="28"/>
                <w:szCs w:val="28"/>
              </w:rPr>
              <w:t>1</w:t>
            </w:r>
            <w:r w:rsidR="00404E5F">
              <w:rPr>
                <w:rFonts w:ascii="Times New Roman" w:hAnsi="Times New Roman" w:cs="Times New Roman"/>
                <w:sz w:val="28"/>
                <w:szCs w:val="28"/>
              </w:rPr>
              <w:t>61</w:t>
            </w:r>
            <w:r>
              <w:rPr>
                <w:rFonts w:ascii="Times New Roman" w:hAnsi="Times New Roman" w:cs="Times New Roman"/>
                <w:sz w:val="28"/>
                <w:szCs w:val="28"/>
              </w:rPr>
              <w:t>00,0</w:t>
            </w:r>
          </w:p>
        </w:tc>
      </w:tr>
      <w:tr w:rsidR="003D1372" w14:paraId="4D7215F0" w14:textId="77777777" w:rsidTr="00C43703">
        <w:tc>
          <w:tcPr>
            <w:tcW w:w="1926" w:type="dxa"/>
          </w:tcPr>
          <w:p w14:paraId="64079ACB" w14:textId="37F3AFE2" w:rsidR="003D1372" w:rsidRDefault="003D1372" w:rsidP="003D1372">
            <w:pPr>
              <w:pStyle w:val="ac"/>
              <w:jc w:val="both"/>
              <w:rPr>
                <w:rFonts w:ascii="Times New Roman" w:hAnsi="Times New Roman" w:cs="Times New Roman"/>
                <w:sz w:val="28"/>
                <w:szCs w:val="28"/>
              </w:rPr>
            </w:pPr>
            <w:r>
              <w:rPr>
                <w:rFonts w:ascii="Times New Roman" w:hAnsi="Times New Roman" w:cs="Times New Roman"/>
                <w:sz w:val="28"/>
                <w:szCs w:val="28"/>
              </w:rPr>
              <w:t>Разом</w:t>
            </w:r>
          </w:p>
        </w:tc>
        <w:tc>
          <w:tcPr>
            <w:tcW w:w="2322" w:type="dxa"/>
          </w:tcPr>
          <w:p w14:paraId="12CA3929" w14:textId="029119BA" w:rsidR="003D1372" w:rsidRDefault="00D22A60" w:rsidP="003D1372">
            <w:pPr>
              <w:pStyle w:val="ac"/>
              <w:jc w:val="both"/>
              <w:rPr>
                <w:rFonts w:ascii="Times New Roman" w:hAnsi="Times New Roman" w:cs="Times New Roman"/>
                <w:sz w:val="28"/>
                <w:szCs w:val="28"/>
              </w:rPr>
            </w:pPr>
            <w:r>
              <w:rPr>
                <w:rFonts w:ascii="Times New Roman" w:hAnsi="Times New Roman" w:cs="Times New Roman"/>
                <w:sz w:val="28"/>
                <w:szCs w:val="28"/>
              </w:rPr>
              <w:t>5</w:t>
            </w:r>
            <w:r w:rsidR="00404E5F">
              <w:rPr>
                <w:rFonts w:ascii="Times New Roman" w:hAnsi="Times New Roman" w:cs="Times New Roman"/>
                <w:sz w:val="28"/>
                <w:szCs w:val="28"/>
              </w:rPr>
              <w:t>3</w:t>
            </w:r>
            <w:r w:rsidR="003D1372">
              <w:rPr>
                <w:rFonts w:ascii="Times New Roman" w:hAnsi="Times New Roman" w:cs="Times New Roman"/>
                <w:sz w:val="28"/>
                <w:szCs w:val="28"/>
              </w:rPr>
              <w:t>00,0</w:t>
            </w:r>
          </w:p>
        </w:tc>
        <w:tc>
          <w:tcPr>
            <w:tcW w:w="1843" w:type="dxa"/>
          </w:tcPr>
          <w:p w14:paraId="72FFA472" w14:textId="288DCB1E" w:rsidR="003D1372" w:rsidRDefault="003D1372" w:rsidP="003D1372">
            <w:pPr>
              <w:pStyle w:val="ac"/>
              <w:jc w:val="both"/>
              <w:rPr>
                <w:rFonts w:ascii="Times New Roman" w:hAnsi="Times New Roman" w:cs="Times New Roman"/>
                <w:sz w:val="28"/>
                <w:szCs w:val="28"/>
              </w:rPr>
            </w:pPr>
            <w:r>
              <w:rPr>
                <w:rFonts w:ascii="Times New Roman" w:hAnsi="Times New Roman" w:cs="Times New Roman"/>
                <w:sz w:val="28"/>
                <w:szCs w:val="28"/>
              </w:rPr>
              <w:t>5</w:t>
            </w:r>
            <w:r w:rsidR="00D22A60">
              <w:rPr>
                <w:rFonts w:ascii="Times New Roman" w:hAnsi="Times New Roman" w:cs="Times New Roman"/>
                <w:sz w:val="28"/>
                <w:szCs w:val="28"/>
              </w:rPr>
              <w:t>0</w:t>
            </w:r>
            <w:r>
              <w:rPr>
                <w:rFonts w:ascii="Times New Roman" w:hAnsi="Times New Roman" w:cs="Times New Roman"/>
                <w:sz w:val="28"/>
                <w:szCs w:val="28"/>
              </w:rPr>
              <w:t>00,0</w:t>
            </w:r>
          </w:p>
        </w:tc>
        <w:tc>
          <w:tcPr>
            <w:tcW w:w="1842" w:type="dxa"/>
          </w:tcPr>
          <w:p w14:paraId="6EDBD020" w14:textId="0BCA9674" w:rsidR="003D1372" w:rsidRDefault="003D1372" w:rsidP="003D1372">
            <w:pPr>
              <w:pStyle w:val="ac"/>
              <w:jc w:val="both"/>
              <w:rPr>
                <w:rFonts w:ascii="Times New Roman" w:hAnsi="Times New Roman" w:cs="Times New Roman"/>
                <w:sz w:val="28"/>
                <w:szCs w:val="28"/>
              </w:rPr>
            </w:pPr>
            <w:r>
              <w:rPr>
                <w:rFonts w:ascii="Times New Roman" w:hAnsi="Times New Roman" w:cs="Times New Roman"/>
                <w:sz w:val="28"/>
                <w:szCs w:val="28"/>
              </w:rPr>
              <w:t>5</w:t>
            </w:r>
            <w:r w:rsidR="00D22A60">
              <w:rPr>
                <w:rFonts w:ascii="Times New Roman" w:hAnsi="Times New Roman" w:cs="Times New Roman"/>
                <w:sz w:val="28"/>
                <w:szCs w:val="28"/>
              </w:rPr>
              <w:t>8</w:t>
            </w:r>
            <w:r>
              <w:rPr>
                <w:rFonts w:ascii="Times New Roman" w:hAnsi="Times New Roman" w:cs="Times New Roman"/>
                <w:sz w:val="28"/>
                <w:szCs w:val="28"/>
              </w:rPr>
              <w:t>00,0</w:t>
            </w:r>
          </w:p>
        </w:tc>
        <w:tc>
          <w:tcPr>
            <w:tcW w:w="1696" w:type="dxa"/>
          </w:tcPr>
          <w:p w14:paraId="54549F5A" w14:textId="129D036C" w:rsidR="003D1372" w:rsidRDefault="003D1372" w:rsidP="003D1372">
            <w:pPr>
              <w:pStyle w:val="ac"/>
              <w:jc w:val="both"/>
              <w:rPr>
                <w:rFonts w:ascii="Times New Roman" w:hAnsi="Times New Roman" w:cs="Times New Roman"/>
                <w:sz w:val="28"/>
                <w:szCs w:val="28"/>
              </w:rPr>
            </w:pPr>
            <w:r>
              <w:rPr>
                <w:rFonts w:ascii="Times New Roman" w:hAnsi="Times New Roman" w:cs="Times New Roman"/>
                <w:sz w:val="28"/>
                <w:szCs w:val="28"/>
              </w:rPr>
              <w:t>1</w:t>
            </w:r>
            <w:r w:rsidR="00404E5F">
              <w:rPr>
                <w:rFonts w:ascii="Times New Roman" w:hAnsi="Times New Roman" w:cs="Times New Roman"/>
                <w:sz w:val="28"/>
                <w:szCs w:val="28"/>
              </w:rPr>
              <w:t>61</w:t>
            </w:r>
            <w:r>
              <w:rPr>
                <w:rFonts w:ascii="Times New Roman" w:hAnsi="Times New Roman" w:cs="Times New Roman"/>
                <w:sz w:val="28"/>
                <w:szCs w:val="28"/>
              </w:rPr>
              <w:t>00,0</w:t>
            </w:r>
          </w:p>
        </w:tc>
      </w:tr>
    </w:tbl>
    <w:p w14:paraId="7C054685" w14:textId="77777777" w:rsidR="001B35CA" w:rsidRDefault="001B35CA" w:rsidP="00C11300">
      <w:pPr>
        <w:pStyle w:val="ac"/>
        <w:ind w:firstLine="708"/>
        <w:jc w:val="both"/>
        <w:rPr>
          <w:rFonts w:ascii="Times New Roman" w:hAnsi="Times New Roman" w:cs="Times New Roman"/>
          <w:sz w:val="28"/>
          <w:szCs w:val="28"/>
        </w:rPr>
      </w:pPr>
    </w:p>
    <w:p w14:paraId="3AF68C61" w14:textId="17A0C095" w:rsidR="003D1372" w:rsidRDefault="003D1372" w:rsidP="00C11300">
      <w:pPr>
        <w:pStyle w:val="ac"/>
        <w:ind w:firstLine="708"/>
        <w:jc w:val="both"/>
        <w:rPr>
          <w:rFonts w:ascii="Times New Roman" w:hAnsi="Times New Roman" w:cs="Times New Roman"/>
          <w:sz w:val="28"/>
          <w:szCs w:val="28"/>
        </w:rPr>
      </w:pPr>
      <w:r>
        <w:rPr>
          <w:rFonts w:ascii="Times New Roman" w:hAnsi="Times New Roman" w:cs="Times New Roman"/>
          <w:sz w:val="28"/>
          <w:szCs w:val="28"/>
        </w:rPr>
        <w:t>Р</w:t>
      </w:r>
      <w:r w:rsidRPr="003D1372">
        <w:rPr>
          <w:rFonts w:ascii="Times New Roman" w:hAnsi="Times New Roman" w:cs="Times New Roman"/>
          <w:sz w:val="28"/>
          <w:szCs w:val="28"/>
        </w:rPr>
        <w:t>озподіл орієнтовного граничного сукупного обсягу публічних інвестицій на 202</w:t>
      </w:r>
      <w:r w:rsidR="00DD4D5D">
        <w:rPr>
          <w:rFonts w:ascii="Times New Roman" w:hAnsi="Times New Roman" w:cs="Times New Roman"/>
          <w:sz w:val="28"/>
          <w:szCs w:val="28"/>
        </w:rPr>
        <w:t>7</w:t>
      </w:r>
      <w:r w:rsidRPr="003D1372">
        <w:rPr>
          <w:rFonts w:ascii="Times New Roman" w:hAnsi="Times New Roman" w:cs="Times New Roman"/>
          <w:sz w:val="28"/>
          <w:szCs w:val="28"/>
        </w:rPr>
        <w:t>, 202</w:t>
      </w:r>
      <w:r w:rsidR="00DD4D5D">
        <w:rPr>
          <w:rFonts w:ascii="Times New Roman" w:hAnsi="Times New Roman" w:cs="Times New Roman"/>
          <w:sz w:val="28"/>
          <w:szCs w:val="28"/>
        </w:rPr>
        <w:t>8</w:t>
      </w:r>
      <w:r w:rsidRPr="003D1372">
        <w:rPr>
          <w:rFonts w:ascii="Times New Roman" w:hAnsi="Times New Roman" w:cs="Times New Roman"/>
          <w:sz w:val="28"/>
          <w:szCs w:val="28"/>
        </w:rPr>
        <w:t>, 202</w:t>
      </w:r>
      <w:r w:rsidR="00DD4D5D">
        <w:rPr>
          <w:rFonts w:ascii="Times New Roman" w:hAnsi="Times New Roman" w:cs="Times New Roman"/>
          <w:sz w:val="28"/>
          <w:szCs w:val="28"/>
        </w:rPr>
        <w:t>9</w:t>
      </w:r>
      <w:r w:rsidRPr="003D1372">
        <w:rPr>
          <w:rFonts w:ascii="Times New Roman" w:hAnsi="Times New Roman" w:cs="Times New Roman"/>
          <w:sz w:val="28"/>
          <w:szCs w:val="28"/>
        </w:rPr>
        <w:t xml:space="preserve"> роки на сектори (галузі) для публічного інвестування в межах доведеного орієнтовного граничного сукупного обсягу публічних інвестицій на середньостроковий період має таку структуру</w:t>
      </w:r>
      <w:r>
        <w:rPr>
          <w:rFonts w:ascii="Times New Roman" w:hAnsi="Times New Roman" w:cs="Times New Roman"/>
          <w:sz w:val="28"/>
          <w:szCs w:val="28"/>
        </w:rPr>
        <w:t>.</w:t>
      </w:r>
    </w:p>
    <w:tbl>
      <w:tblPr>
        <w:tblStyle w:val="ae"/>
        <w:tblW w:w="0" w:type="auto"/>
        <w:tblLook w:val="04A0" w:firstRow="1" w:lastRow="0" w:firstColumn="1" w:lastColumn="0" w:noHBand="0" w:noVBand="1"/>
      </w:tblPr>
      <w:tblGrid>
        <w:gridCol w:w="2072"/>
        <w:gridCol w:w="1879"/>
        <w:gridCol w:w="1960"/>
        <w:gridCol w:w="1859"/>
        <w:gridCol w:w="1859"/>
      </w:tblGrid>
      <w:tr w:rsidR="00332DA4" w14:paraId="01468799" w14:textId="77777777" w:rsidTr="00FE5C3A">
        <w:trPr>
          <w:trHeight w:val="1470"/>
        </w:trPr>
        <w:tc>
          <w:tcPr>
            <w:tcW w:w="2072" w:type="dxa"/>
          </w:tcPr>
          <w:p w14:paraId="581AEC70" w14:textId="06EFA9F0" w:rsidR="00332DA4" w:rsidRPr="00332DA4" w:rsidRDefault="00332DA4" w:rsidP="00C11300">
            <w:pPr>
              <w:pStyle w:val="ac"/>
              <w:jc w:val="both"/>
              <w:rPr>
                <w:rFonts w:ascii="Times New Roman" w:hAnsi="Times New Roman" w:cs="Times New Roman"/>
              </w:rPr>
            </w:pPr>
            <w:r w:rsidRPr="00332DA4">
              <w:rPr>
                <w:rFonts w:ascii="Times New Roman" w:hAnsi="Times New Roman" w:cs="Times New Roman"/>
              </w:rPr>
              <w:t>Галузь (сектор)</w:t>
            </w:r>
          </w:p>
        </w:tc>
        <w:tc>
          <w:tcPr>
            <w:tcW w:w="1879" w:type="dxa"/>
          </w:tcPr>
          <w:p w14:paraId="1BED7B00" w14:textId="3553C8AE" w:rsidR="00332DA4" w:rsidRPr="00332DA4" w:rsidRDefault="00332DA4" w:rsidP="00C11300">
            <w:pPr>
              <w:pStyle w:val="ac"/>
              <w:jc w:val="both"/>
              <w:rPr>
                <w:rFonts w:ascii="Times New Roman" w:hAnsi="Times New Roman" w:cs="Times New Roman"/>
              </w:rPr>
            </w:pPr>
            <w:r w:rsidRPr="00332DA4">
              <w:rPr>
                <w:rFonts w:ascii="Times New Roman" w:hAnsi="Times New Roman" w:cs="Times New Roman"/>
              </w:rPr>
              <w:t>Граничний розподіл на 2027 рік</w:t>
            </w:r>
          </w:p>
        </w:tc>
        <w:tc>
          <w:tcPr>
            <w:tcW w:w="1960" w:type="dxa"/>
          </w:tcPr>
          <w:p w14:paraId="00948193" w14:textId="2D306F2B" w:rsidR="00332DA4" w:rsidRPr="00332DA4" w:rsidRDefault="00332DA4" w:rsidP="00C11300">
            <w:pPr>
              <w:pStyle w:val="ac"/>
              <w:jc w:val="both"/>
              <w:rPr>
                <w:rFonts w:ascii="Times New Roman" w:hAnsi="Times New Roman" w:cs="Times New Roman"/>
              </w:rPr>
            </w:pPr>
            <w:r w:rsidRPr="00332DA4">
              <w:rPr>
                <w:rFonts w:ascii="Times New Roman" w:hAnsi="Times New Roman" w:cs="Times New Roman"/>
              </w:rPr>
              <w:t>Граничний розподіл на 2028 рік</w:t>
            </w:r>
          </w:p>
        </w:tc>
        <w:tc>
          <w:tcPr>
            <w:tcW w:w="1859" w:type="dxa"/>
          </w:tcPr>
          <w:p w14:paraId="5C3B9E52" w14:textId="5A6E1B5C" w:rsidR="00332DA4" w:rsidRPr="00332DA4" w:rsidRDefault="00332DA4" w:rsidP="00C11300">
            <w:pPr>
              <w:pStyle w:val="ac"/>
              <w:jc w:val="both"/>
              <w:rPr>
                <w:rFonts w:ascii="Times New Roman" w:hAnsi="Times New Roman" w:cs="Times New Roman"/>
              </w:rPr>
            </w:pPr>
            <w:r w:rsidRPr="00332DA4">
              <w:rPr>
                <w:rFonts w:ascii="Times New Roman" w:hAnsi="Times New Roman" w:cs="Times New Roman"/>
              </w:rPr>
              <w:t>Граничний розподіл на 2029 рік</w:t>
            </w:r>
          </w:p>
        </w:tc>
        <w:tc>
          <w:tcPr>
            <w:tcW w:w="1859" w:type="dxa"/>
          </w:tcPr>
          <w:p w14:paraId="76359949" w14:textId="534B039A" w:rsidR="00332DA4" w:rsidRPr="00332DA4" w:rsidRDefault="00332DA4" w:rsidP="00C11300">
            <w:pPr>
              <w:pStyle w:val="ac"/>
              <w:jc w:val="both"/>
              <w:rPr>
                <w:rFonts w:ascii="Times New Roman" w:hAnsi="Times New Roman" w:cs="Times New Roman"/>
              </w:rPr>
            </w:pPr>
            <w:r w:rsidRPr="00332DA4">
              <w:rPr>
                <w:rFonts w:ascii="Times New Roman" w:hAnsi="Times New Roman" w:cs="Times New Roman"/>
              </w:rPr>
              <w:t>Граничний розподіл на середньо строковий період</w:t>
            </w:r>
          </w:p>
        </w:tc>
      </w:tr>
      <w:tr w:rsidR="00332DA4" w14:paraId="3CC2424C" w14:textId="77777777" w:rsidTr="00FE5C3A">
        <w:tc>
          <w:tcPr>
            <w:tcW w:w="2072" w:type="dxa"/>
          </w:tcPr>
          <w:p w14:paraId="09CCB8A6" w14:textId="6CCCC2E2" w:rsidR="00332DA4" w:rsidRDefault="00332DA4" w:rsidP="00C11300">
            <w:pPr>
              <w:pStyle w:val="ac"/>
              <w:jc w:val="both"/>
              <w:rPr>
                <w:rFonts w:ascii="Times New Roman" w:hAnsi="Times New Roman" w:cs="Times New Roman"/>
                <w:sz w:val="28"/>
                <w:szCs w:val="28"/>
              </w:rPr>
            </w:pPr>
            <w:r w:rsidRPr="00332DA4">
              <w:rPr>
                <w:rFonts w:ascii="Times New Roman" w:hAnsi="Times New Roman" w:cs="Times New Roman"/>
                <w:sz w:val="28"/>
                <w:szCs w:val="28"/>
              </w:rPr>
              <w:t>Муніципальна інфраструктура та послуги</w:t>
            </w:r>
          </w:p>
        </w:tc>
        <w:tc>
          <w:tcPr>
            <w:tcW w:w="1879" w:type="dxa"/>
          </w:tcPr>
          <w:p w14:paraId="0DD47766" w14:textId="170387ED" w:rsidR="00332DA4" w:rsidRDefault="00DE36F7" w:rsidP="00C11300">
            <w:pPr>
              <w:pStyle w:val="ac"/>
              <w:jc w:val="both"/>
              <w:rPr>
                <w:rFonts w:ascii="Times New Roman" w:hAnsi="Times New Roman" w:cs="Times New Roman"/>
                <w:sz w:val="28"/>
                <w:szCs w:val="28"/>
              </w:rPr>
            </w:pPr>
            <w:r>
              <w:rPr>
                <w:rFonts w:ascii="Times New Roman" w:hAnsi="Times New Roman" w:cs="Times New Roman"/>
                <w:sz w:val="28"/>
                <w:szCs w:val="28"/>
              </w:rPr>
              <w:t>0</w:t>
            </w:r>
            <w:r w:rsidR="00594285">
              <w:rPr>
                <w:rFonts w:ascii="Times New Roman" w:hAnsi="Times New Roman" w:cs="Times New Roman"/>
                <w:sz w:val="28"/>
                <w:szCs w:val="28"/>
              </w:rPr>
              <w:t>,0</w:t>
            </w:r>
          </w:p>
        </w:tc>
        <w:tc>
          <w:tcPr>
            <w:tcW w:w="1960" w:type="dxa"/>
          </w:tcPr>
          <w:p w14:paraId="2AF540C9" w14:textId="47B323B6" w:rsidR="00332DA4" w:rsidRDefault="00D22A60" w:rsidP="00C11300">
            <w:pPr>
              <w:pStyle w:val="ac"/>
              <w:jc w:val="both"/>
              <w:rPr>
                <w:rFonts w:ascii="Times New Roman" w:hAnsi="Times New Roman" w:cs="Times New Roman"/>
                <w:sz w:val="28"/>
                <w:szCs w:val="28"/>
              </w:rPr>
            </w:pPr>
            <w:r>
              <w:rPr>
                <w:rFonts w:ascii="Times New Roman" w:hAnsi="Times New Roman" w:cs="Times New Roman"/>
                <w:sz w:val="28"/>
                <w:szCs w:val="28"/>
              </w:rPr>
              <w:t>1</w:t>
            </w:r>
            <w:r w:rsidR="00F920A0">
              <w:rPr>
                <w:rFonts w:ascii="Times New Roman" w:hAnsi="Times New Roman" w:cs="Times New Roman"/>
                <w:sz w:val="28"/>
                <w:szCs w:val="28"/>
              </w:rPr>
              <w:t>3</w:t>
            </w:r>
            <w:r w:rsidR="006D58C8">
              <w:rPr>
                <w:rFonts w:ascii="Times New Roman" w:hAnsi="Times New Roman" w:cs="Times New Roman"/>
                <w:sz w:val="28"/>
                <w:szCs w:val="28"/>
              </w:rPr>
              <w:t>00</w:t>
            </w:r>
            <w:r>
              <w:rPr>
                <w:rFonts w:ascii="Times New Roman" w:hAnsi="Times New Roman" w:cs="Times New Roman"/>
                <w:sz w:val="28"/>
                <w:szCs w:val="28"/>
              </w:rPr>
              <w:t>,0</w:t>
            </w:r>
            <w:r w:rsidR="00DE36F7">
              <w:rPr>
                <w:rFonts w:ascii="Times New Roman" w:hAnsi="Times New Roman" w:cs="Times New Roman"/>
                <w:sz w:val="28"/>
                <w:szCs w:val="28"/>
              </w:rPr>
              <w:t xml:space="preserve"> </w:t>
            </w:r>
          </w:p>
        </w:tc>
        <w:tc>
          <w:tcPr>
            <w:tcW w:w="1859" w:type="dxa"/>
          </w:tcPr>
          <w:p w14:paraId="1DC32E1C" w14:textId="7FB89845" w:rsidR="00332DA4" w:rsidRDefault="00D22A60" w:rsidP="00C11300">
            <w:pPr>
              <w:pStyle w:val="ac"/>
              <w:jc w:val="both"/>
              <w:rPr>
                <w:rFonts w:ascii="Times New Roman" w:hAnsi="Times New Roman" w:cs="Times New Roman"/>
                <w:sz w:val="28"/>
                <w:szCs w:val="28"/>
              </w:rPr>
            </w:pPr>
            <w:r>
              <w:rPr>
                <w:rFonts w:ascii="Times New Roman" w:hAnsi="Times New Roman" w:cs="Times New Roman"/>
                <w:sz w:val="28"/>
                <w:szCs w:val="28"/>
              </w:rPr>
              <w:t>1</w:t>
            </w:r>
            <w:r w:rsidR="00F920A0">
              <w:rPr>
                <w:rFonts w:ascii="Times New Roman" w:hAnsi="Times New Roman" w:cs="Times New Roman"/>
                <w:sz w:val="28"/>
                <w:szCs w:val="28"/>
              </w:rPr>
              <w:t>2</w:t>
            </w:r>
            <w:r>
              <w:rPr>
                <w:rFonts w:ascii="Times New Roman" w:hAnsi="Times New Roman" w:cs="Times New Roman"/>
                <w:sz w:val="28"/>
                <w:szCs w:val="28"/>
              </w:rPr>
              <w:t>00,0</w:t>
            </w:r>
            <w:r w:rsidR="00DE36F7">
              <w:rPr>
                <w:rFonts w:ascii="Times New Roman" w:hAnsi="Times New Roman" w:cs="Times New Roman"/>
                <w:sz w:val="28"/>
                <w:szCs w:val="28"/>
              </w:rPr>
              <w:t xml:space="preserve"> </w:t>
            </w:r>
          </w:p>
        </w:tc>
        <w:tc>
          <w:tcPr>
            <w:tcW w:w="1859" w:type="dxa"/>
          </w:tcPr>
          <w:p w14:paraId="63CCA426" w14:textId="15437F48" w:rsidR="00332DA4" w:rsidRDefault="00DE36F7" w:rsidP="00C11300">
            <w:pPr>
              <w:pStyle w:val="ac"/>
              <w:jc w:val="both"/>
              <w:rPr>
                <w:rFonts w:ascii="Times New Roman" w:hAnsi="Times New Roman" w:cs="Times New Roman"/>
                <w:sz w:val="28"/>
                <w:szCs w:val="28"/>
              </w:rPr>
            </w:pPr>
            <w:r>
              <w:rPr>
                <w:rFonts w:ascii="Times New Roman" w:hAnsi="Times New Roman" w:cs="Times New Roman"/>
                <w:sz w:val="28"/>
                <w:szCs w:val="28"/>
              </w:rPr>
              <w:t>2,5</w:t>
            </w:r>
            <w:r w:rsidR="00BE4CDB">
              <w:rPr>
                <w:rFonts w:ascii="Times New Roman" w:hAnsi="Times New Roman" w:cs="Times New Roman"/>
                <w:sz w:val="28"/>
                <w:szCs w:val="28"/>
              </w:rPr>
              <w:t>00,0</w:t>
            </w:r>
          </w:p>
        </w:tc>
      </w:tr>
      <w:tr w:rsidR="00332DA4" w14:paraId="7A041536" w14:textId="77777777" w:rsidTr="00FE5C3A">
        <w:tc>
          <w:tcPr>
            <w:tcW w:w="2072" w:type="dxa"/>
          </w:tcPr>
          <w:p w14:paraId="037642C4" w14:textId="0EB0AB7E" w:rsidR="00332DA4" w:rsidRPr="00332DA4" w:rsidRDefault="00332DA4" w:rsidP="00C11300">
            <w:pPr>
              <w:pStyle w:val="ac"/>
              <w:jc w:val="both"/>
              <w:rPr>
                <w:rFonts w:ascii="Times New Roman" w:hAnsi="Times New Roman" w:cs="Times New Roman"/>
                <w:sz w:val="28"/>
                <w:szCs w:val="28"/>
              </w:rPr>
            </w:pPr>
            <w:r w:rsidRPr="00332DA4">
              <w:rPr>
                <w:rFonts w:ascii="Times New Roman" w:hAnsi="Times New Roman" w:cs="Times New Roman"/>
                <w:sz w:val="28"/>
                <w:szCs w:val="28"/>
              </w:rPr>
              <w:t>Освіта і наука</w:t>
            </w:r>
          </w:p>
        </w:tc>
        <w:tc>
          <w:tcPr>
            <w:tcW w:w="1879" w:type="dxa"/>
          </w:tcPr>
          <w:p w14:paraId="6AEC14EB" w14:textId="4C9FC01D" w:rsidR="00332DA4" w:rsidRDefault="00F920A0" w:rsidP="00C11300">
            <w:pPr>
              <w:pStyle w:val="ac"/>
              <w:jc w:val="both"/>
              <w:rPr>
                <w:rFonts w:ascii="Times New Roman" w:hAnsi="Times New Roman" w:cs="Times New Roman"/>
                <w:sz w:val="28"/>
                <w:szCs w:val="28"/>
              </w:rPr>
            </w:pPr>
            <w:r>
              <w:rPr>
                <w:rFonts w:ascii="Times New Roman" w:hAnsi="Times New Roman" w:cs="Times New Roman"/>
                <w:sz w:val="28"/>
                <w:szCs w:val="28"/>
              </w:rPr>
              <w:t>2250</w:t>
            </w:r>
          </w:p>
        </w:tc>
        <w:tc>
          <w:tcPr>
            <w:tcW w:w="1960" w:type="dxa"/>
          </w:tcPr>
          <w:p w14:paraId="7DEB72A7" w14:textId="70B347CC" w:rsidR="00332DA4" w:rsidRDefault="00F920A0" w:rsidP="00C11300">
            <w:pPr>
              <w:pStyle w:val="ac"/>
              <w:jc w:val="both"/>
              <w:rPr>
                <w:rFonts w:ascii="Times New Roman" w:hAnsi="Times New Roman" w:cs="Times New Roman"/>
                <w:sz w:val="28"/>
                <w:szCs w:val="28"/>
              </w:rPr>
            </w:pPr>
            <w:r>
              <w:rPr>
                <w:rFonts w:ascii="Times New Roman" w:hAnsi="Times New Roman" w:cs="Times New Roman"/>
                <w:sz w:val="28"/>
                <w:szCs w:val="28"/>
              </w:rPr>
              <w:t>1450</w:t>
            </w:r>
          </w:p>
        </w:tc>
        <w:tc>
          <w:tcPr>
            <w:tcW w:w="1859" w:type="dxa"/>
          </w:tcPr>
          <w:p w14:paraId="4C9A7777" w14:textId="3FE0F92D" w:rsidR="00332DA4" w:rsidRDefault="00254B7E" w:rsidP="00C11300">
            <w:pPr>
              <w:pStyle w:val="ac"/>
              <w:jc w:val="both"/>
              <w:rPr>
                <w:rFonts w:ascii="Times New Roman" w:hAnsi="Times New Roman" w:cs="Times New Roman"/>
                <w:sz w:val="28"/>
                <w:szCs w:val="28"/>
              </w:rPr>
            </w:pPr>
            <w:r>
              <w:rPr>
                <w:rFonts w:ascii="Times New Roman" w:hAnsi="Times New Roman" w:cs="Times New Roman"/>
                <w:sz w:val="28"/>
                <w:szCs w:val="28"/>
              </w:rPr>
              <w:t>2</w:t>
            </w:r>
            <w:r w:rsidR="00F920A0">
              <w:rPr>
                <w:rFonts w:ascii="Times New Roman" w:hAnsi="Times New Roman" w:cs="Times New Roman"/>
                <w:sz w:val="28"/>
                <w:szCs w:val="28"/>
              </w:rPr>
              <w:t>6</w:t>
            </w:r>
            <w:r w:rsidR="00332DA4">
              <w:rPr>
                <w:rFonts w:ascii="Times New Roman" w:hAnsi="Times New Roman" w:cs="Times New Roman"/>
                <w:sz w:val="28"/>
                <w:szCs w:val="28"/>
              </w:rPr>
              <w:t>00,0</w:t>
            </w:r>
          </w:p>
        </w:tc>
        <w:tc>
          <w:tcPr>
            <w:tcW w:w="1859" w:type="dxa"/>
          </w:tcPr>
          <w:p w14:paraId="5CE5E160" w14:textId="7A19C043" w:rsidR="00332DA4" w:rsidRDefault="00332DA4" w:rsidP="00C11300">
            <w:pPr>
              <w:pStyle w:val="ac"/>
              <w:jc w:val="both"/>
              <w:rPr>
                <w:rFonts w:ascii="Times New Roman" w:hAnsi="Times New Roman" w:cs="Times New Roman"/>
                <w:sz w:val="28"/>
                <w:szCs w:val="28"/>
              </w:rPr>
            </w:pPr>
            <w:r>
              <w:rPr>
                <w:rFonts w:ascii="Times New Roman" w:hAnsi="Times New Roman" w:cs="Times New Roman"/>
                <w:sz w:val="28"/>
                <w:szCs w:val="28"/>
              </w:rPr>
              <w:t>6</w:t>
            </w:r>
            <w:r w:rsidR="00F920A0">
              <w:rPr>
                <w:rFonts w:ascii="Times New Roman" w:hAnsi="Times New Roman" w:cs="Times New Roman"/>
                <w:sz w:val="28"/>
                <w:szCs w:val="28"/>
              </w:rPr>
              <w:t>3</w:t>
            </w:r>
            <w:r>
              <w:rPr>
                <w:rFonts w:ascii="Times New Roman" w:hAnsi="Times New Roman" w:cs="Times New Roman"/>
                <w:sz w:val="28"/>
                <w:szCs w:val="28"/>
              </w:rPr>
              <w:t>00,00</w:t>
            </w:r>
          </w:p>
        </w:tc>
      </w:tr>
      <w:tr w:rsidR="00332DA4" w14:paraId="5A914B0B" w14:textId="77777777" w:rsidTr="00FE5C3A">
        <w:tc>
          <w:tcPr>
            <w:tcW w:w="2072" w:type="dxa"/>
          </w:tcPr>
          <w:p w14:paraId="09AEA3B2" w14:textId="278B111D" w:rsidR="00332DA4" w:rsidRPr="00332DA4" w:rsidRDefault="00332DA4" w:rsidP="00C11300">
            <w:pPr>
              <w:pStyle w:val="ac"/>
              <w:jc w:val="both"/>
              <w:rPr>
                <w:rFonts w:ascii="Times New Roman" w:hAnsi="Times New Roman" w:cs="Times New Roman"/>
                <w:sz w:val="28"/>
                <w:szCs w:val="28"/>
              </w:rPr>
            </w:pPr>
            <w:r w:rsidRPr="00332DA4">
              <w:rPr>
                <w:rFonts w:ascii="Times New Roman" w:hAnsi="Times New Roman" w:cs="Times New Roman"/>
                <w:sz w:val="28"/>
                <w:szCs w:val="28"/>
              </w:rPr>
              <w:t>Громадська безпека</w:t>
            </w:r>
          </w:p>
        </w:tc>
        <w:tc>
          <w:tcPr>
            <w:tcW w:w="1879" w:type="dxa"/>
          </w:tcPr>
          <w:p w14:paraId="0BCA8682" w14:textId="5047CD92" w:rsidR="00332DA4" w:rsidRDefault="00332DA4" w:rsidP="00C11300">
            <w:pPr>
              <w:pStyle w:val="ac"/>
              <w:jc w:val="both"/>
              <w:rPr>
                <w:rFonts w:ascii="Times New Roman" w:hAnsi="Times New Roman" w:cs="Times New Roman"/>
                <w:sz w:val="28"/>
                <w:szCs w:val="28"/>
              </w:rPr>
            </w:pPr>
            <w:r>
              <w:rPr>
                <w:rFonts w:ascii="Times New Roman" w:hAnsi="Times New Roman" w:cs="Times New Roman"/>
                <w:sz w:val="28"/>
                <w:szCs w:val="28"/>
              </w:rPr>
              <w:t>1</w:t>
            </w:r>
            <w:r w:rsidR="00D22A60">
              <w:rPr>
                <w:rFonts w:ascii="Times New Roman" w:hAnsi="Times New Roman" w:cs="Times New Roman"/>
                <w:sz w:val="28"/>
                <w:szCs w:val="28"/>
              </w:rPr>
              <w:t>25</w:t>
            </w:r>
            <w:r>
              <w:rPr>
                <w:rFonts w:ascii="Times New Roman" w:hAnsi="Times New Roman" w:cs="Times New Roman"/>
                <w:sz w:val="28"/>
                <w:szCs w:val="28"/>
              </w:rPr>
              <w:t>0,0</w:t>
            </w:r>
            <w:r w:rsidR="00DE36F7">
              <w:rPr>
                <w:rFonts w:ascii="Times New Roman" w:hAnsi="Times New Roman" w:cs="Times New Roman"/>
                <w:sz w:val="28"/>
                <w:szCs w:val="28"/>
              </w:rPr>
              <w:t xml:space="preserve">  </w:t>
            </w:r>
          </w:p>
        </w:tc>
        <w:tc>
          <w:tcPr>
            <w:tcW w:w="1960" w:type="dxa"/>
          </w:tcPr>
          <w:p w14:paraId="7396EE75" w14:textId="7E8E1D1C" w:rsidR="00332DA4" w:rsidRDefault="00F920A0" w:rsidP="00C11300">
            <w:pPr>
              <w:pStyle w:val="ac"/>
              <w:jc w:val="both"/>
              <w:rPr>
                <w:rFonts w:ascii="Times New Roman" w:hAnsi="Times New Roman" w:cs="Times New Roman"/>
                <w:sz w:val="28"/>
                <w:szCs w:val="28"/>
              </w:rPr>
            </w:pPr>
            <w:r>
              <w:rPr>
                <w:rFonts w:ascii="Times New Roman" w:hAnsi="Times New Roman" w:cs="Times New Roman"/>
                <w:sz w:val="28"/>
                <w:szCs w:val="28"/>
              </w:rPr>
              <w:t>2</w:t>
            </w:r>
            <w:r w:rsidR="00D22A60">
              <w:rPr>
                <w:rFonts w:ascii="Times New Roman" w:hAnsi="Times New Roman" w:cs="Times New Roman"/>
                <w:sz w:val="28"/>
                <w:szCs w:val="28"/>
              </w:rPr>
              <w:t>250</w:t>
            </w:r>
            <w:r w:rsidR="00332DA4">
              <w:rPr>
                <w:rFonts w:ascii="Times New Roman" w:hAnsi="Times New Roman" w:cs="Times New Roman"/>
                <w:sz w:val="28"/>
                <w:szCs w:val="28"/>
              </w:rPr>
              <w:t>,0</w:t>
            </w:r>
            <w:r>
              <w:rPr>
                <w:rFonts w:ascii="Times New Roman" w:hAnsi="Times New Roman" w:cs="Times New Roman"/>
                <w:sz w:val="28"/>
                <w:szCs w:val="28"/>
              </w:rPr>
              <w:t xml:space="preserve"> </w:t>
            </w:r>
          </w:p>
        </w:tc>
        <w:tc>
          <w:tcPr>
            <w:tcW w:w="1859" w:type="dxa"/>
          </w:tcPr>
          <w:p w14:paraId="0046F86B" w14:textId="4FDB4CF6" w:rsidR="00332DA4" w:rsidRDefault="00F920A0" w:rsidP="00C11300">
            <w:pPr>
              <w:pStyle w:val="ac"/>
              <w:jc w:val="both"/>
              <w:rPr>
                <w:rFonts w:ascii="Times New Roman" w:hAnsi="Times New Roman" w:cs="Times New Roman"/>
                <w:sz w:val="28"/>
                <w:szCs w:val="28"/>
              </w:rPr>
            </w:pPr>
            <w:r>
              <w:rPr>
                <w:rFonts w:ascii="Times New Roman" w:hAnsi="Times New Roman" w:cs="Times New Roman"/>
                <w:sz w:val="28"/>
                <w:szCs w:val="28"/>
              </w:rPr>
              <w:t>1</w:t>
            </w:r>
            <w:r w:rsidR="00DE36F7">
              <w:rPr>
                <w:rFonts w:ascii="Times New Roman" w:hAnsi="Times New Roman" w:cs="Times New Roman"/>
                <w:sz w:val="28"/>
                <w:szCs w:val="28"/>
              </w:rPr>
              <w:t xml:space="preserve">000,0 </w:t>
            </w:r>
          </w:p>
        </w:tc>
        <w:tc>
          <w:tcPr>
            <w:tcW w:w="1859" w:type="dxa"/>
          </w:tcPr>
          <w:p w14:paraId="3DB4C25D" w14:textId="0284A9B9" w:rsidR="00332DA4" w:rsidRDefault="00F920A0" w:rsidP="00C11300">
            <w:pPr>
              <w:pStyle w:val="ac"/>
              <w:jc w:val="both"/>
              <w:rPr>
                <w:rFonts w:ascii="Times New Roman" w:hAnsi="Times New Roman" w:cs="Times New Roman"/>
                <w:sz w:val="28"/>
                <w:szCs w:val="28"/>
              </w:rPr>
            </w:pPr>
            <w:r>
              <w:rPr>
                <w:rFonts w:ascii="Times New Roman" w:hAnsi="Times New Roman" w:cs="Times New Roman"/>
                <w:sz w:val="28"/>
                <w:szCs w:val="28"/>
              </w:rPr>
              <w:t>45</w:t>
            </w:r>
            <w:r w:rsidR="00332DA4">
              <w:rPr>
                <w:rFonts w:ascii="Times New Roman" w:hAnsi="Times New Roman" w:cs="Times New Roman"/>
                <w:sz w:val="28"/>
                <w:szCs w:val="28"/>
              </w:rPr>
              <w:t>00,0</w:t>
            </w:r>
          </w:p>
        </w:tc>
      </w:tr>
      <w:tr w:rsidR="00A723AB" w14:paraId="773BE365" w14:textId="77777777" w:rsidTr="00FE5C3A">
        <w:tc>
          <w:tcPr>
            <w:tcW w:w="2072" w:type="dxa"/>
          </w:tcPr>
          <w:p w14:paraId="28D079B1" w14:textId="42627A29" w:rsidR="00A723AB" w:rsidRPr="00332DA4" w:rsidRDefault="00D22A60" w:rsidP="00C11300">
            <w:pPr>
              <w:pStyle w:val="ac"/>
              <w:jc w:val="both"/>
              <w:rPr>
                <w:rFonts w:ascii="Times New Roman" w:hAnsi="Times New Roman" w:cs="Times New Roman"/>
                <w:sz w:val="28"/>
                <w:szCs w:val="28"/>
              </w:rPr>
            </w:pPr>
            <w:r>
              <w:rPr>
                <w:rFonts w:ascii="Times New Roman" w:hAnsi="Times New Roman" w:cs="Times New Roman"/>
                <w:sz w:val="28"/>
                <w:szCs w:val="28"/>
              </w:rPr>
              <w:t>Енергетика</w:t>
            </w:r>
          </w:p>
        </w:tc>
        <w:tc>
          <w:tcPr>
            <w:tcW w:w="1879" w:type="dxa"/>
          </w:tcPr>
          <w:p w14:paraId="60D95464" w14:textId="6AEF15A3" w:rsidR="00A723AB"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1800,0</w:t>
            </w:r>
          </w:p>
        </w:tc>
        <w:tc>
          <w:tcPr>
            <w:tcW w:w="1960" w:type="dxa"/>
          </w:tcPr>
          <w:p w14:paraId="0C87590C" w14:textId="36F02CA4" w:rsidR="00A723AB"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0,0</w:t>
            </w:r>
          </w:p>
        </w:tc>
        <w:tc>
          <w:tcPr>
            <w:tcW w:w="1859" w:type="dxa"/>
          </w:tcPr>
          <w:p w14:paraId="3F6FD73C" w14:textId="008D2F76" w:rsidR="00A723AB"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0,0</w:t>
            </w:r>
          </w:p>
        </w:tc>
        <w:tc>
          <w:tcPr>
            <w:tcW w:w="1859" w:type="dxa"/>
          </w:tcPr>
          <w:p w14:paraId="40A0E347" w14:textId="5F1D5FE6" w:rsidR="00A723AB" w:rsidRDefault="00DE36F7" w:rsidP="00C11300">
            <w:pPr>
              <w:pStyle w:val="ac"/>
              <w:jc w:val="both"/>
              <w:rPr>
                <w:rFonts w:ascii="Times New Roman" w:hAnsi="Times New Roman" w:cs="Times New Roman"/>
                <w:sz w:val="28"/>
                <w:szCs w:val="28"/>
              </w:rPr>
            </w:pPr>
            <w:r>
              <w:rPr>
                <w:rFonts w:ascii="Times New Roman" w:hAnsi="Times New Roman" w:cs="Times New Roman"/>
                <w:sz w:val="28"/>
                <w:szCs w:val="28"/>
              </w:rPr>
              <w:t>150</w:t>
            </w:r>
            <w:r w:rsidR="00A723AB">
              <w:rPr>
                <w:rFonts w:ascii="Times New Roman" w:hAnsi="Times New Roman" w:cs="Times New Roman"/>
                <w:sz w:val="28"/>
                <w:szCs w:val="28"/>
              </w:rPr>
              <w:t>0,0</w:t>
            </w:r>
          </w:p>
        </w:tc>
      </w:tr>
      <w:tr w:rsidR="00FE5C3A" w14:paraId="467C5E40" w14:textId="77777777" w:rsidTr="00FE5C3A">
        <w:tc>
          <w:tcPr>
            <w:tcW w:w="2072" w:type="dxa"/>
          </w:tcPr>
          <w:p w14:paraId="0FB11649" w14:textId="39BFF7CA" w:rsidR="00FE5C3A" w:rsidRDefault="00FE5C3A" w:rsidP="00C11300">
            <w:pPr>
              <w:pStyle w:val="ac"/>
              <w:jc w:val="both"/>
              <w:rPr>
                <w:rFonts w:ascii="Times New Roman" w:hAnsi="Times New Roman" w:cs="Times New Roman"/>
                <w:sz w:val="28"/>
                <w:szCs w:val="28"/>
              </w:rPr>
            </w:pPr>
            <w:r>
              <w:rPr>
                <w:rFonts w:ascii="Times New Roman" w:hAnsi="Times New Roman" w:cs="Times New Roman"/>
                <w:sz w:val="28"/>
                <w:szCs w:val="28"/>
              </w:rPr>
              <w:t>Культура та інформація</w:t>
            </w:r>
          </w:p>
        </w:tc>
        <w:tc>
          <w:tcPr>
            <w:tcW w:w="1879" w:type="dxa"/>
          </w:tcPr>
          <w:p w14:paraId="17B0A525" w14:textId="6ABE9309" w:rsidR="00FE5C3A"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0,0</w:t>
            </w:r>
          </w:p>
        </w:tc>
        <w:tc>
          <w:tcPr>
            <w:tcW w:w="1960" w:type="dxa"/>
          </w:tcPr>
          <w:p w14:paraId="6EBC3FE0" w14:textId="315BCC93" w:rsidR="00FE5C3A"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0,0</w:t>
            </w:r>
          </w:p>
        </w:tc>
        <w:tc>
          <w:tcPr>
            <w:tcW w:w="1859" w:type="dxa"/>
          </w:tcPr>
          <w:p w14:paraId="46EB607F" w14:textId="49AEF61B" w:rsidR="00FE5C3A"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1000,0</w:t>
            </w:r>
          </w:p>
        </w:tc>
        <w:tc>
          <w:tcPr>
            <w:tcW w:w="1859" w:type="dxa"/>
          </w:tcPr>
          <w:p w14:paraId="4EE1C62C" w14:textId="181F3FD9" w:rsidR="00FE5C3A" w:rsidRDefault="00594285" w:rsidP="00C11300">
            <w:pPr>
              <w:pStyle w:val="ac"/>
              <w:jc w:val="both"/>
              <w:rPr>
                <w:rFonts w:ascii="Times New Roman" w:hAnsi="Times New Roman" w:cs="Times New Roman"/>
                <w:sz w:val="28"/>
                <w:szCs w:val="28"/>
              </w:rPr>
            </w:pPr>
            <w:r>
              <w:rPr>
                <w:rFonts w:ascii="Times New Roman" w:hAnsi="Times New Roman" w:cs="Times New Roman"/>
                <w:sz w:val="28"/>
                <w:szCs w:val="28"/>
              </w:rPr>
              <w:t>1000,0</w:t>
            </w:r>
          </w:p>
        </w:tc>
      </w:tr>
      <w:tr w:rsidR="00332DA4" w14:paraId="4DE203A3" w14:textId="77777777" w:rsidTr="00FE5C3A">
        <w:tc>
          <w:tcPr>
            <w:tcW w:w="2072" w:type="dxa"/>
          </w:tcPr>
          <w:p w14:paraId="65A566D9" w14:textId="537E3AF1" w:rsidR="00332DA4" w:rsidRDefault="00332DA4" w:rsidP="00C11300">
            <w:pPr>
              <w:pStyle w:val="ac"/>
              <w:jc w:val="both"/>
              <w:rPr>
                <w:rFonts w:ascii="Times New Roman" w:hAnsi="Times New Roman" w:cs="Times New Roman"/>
                <w:sz w:val="28"/>
                <w:szCs w:val="28"/>
              </w:rPr>
            </w:pPr>
            <w:r>
              <w:rPr>
                <w:rFonts w:ascii="Times New Roman" w:hAnsi="Times New Roman" w:cs="Times New Roman"/>
                <w:sz w:val="28"/>
                <w:szCs w:val="28"/>
              </w:rPr>
              <w:t>Разом</w:t>
            </w:r>
          </w:p>
        </w:tc>
        <w:tc>
          <w:tcPr>
            <w:tcW w:w="1879" w:type="dxa"/>
          </w:tcPr>
          <w:p w14:paraId="15679284" w14:textId="780CC6E2" w:rsidR="00332DA4" w:rsidRDefault="00D22A60" w:rsidP="00C11300">
            <w:pPr>
              <w:pStyle w:val="ac"/>
              <w:jc w:val="both"/>
              <w:rPr>
                <w:rFonts w:ascii="Times New Roman" w:hAnsi="Times New Roman" w:cs="Times New Roman"/>
                <w:sz w:val="28"/>
                <w:szCs w:val="28"/>
              </w:rPr>
            </w:pPr>
            <w:r>
              <w:rPr>
                <w:rFonts w:ascii="Times New Roman" w:hAnsi="Times New Roman" w:cs="Times New Roman"/>
                <w:sz w:val="28"/>
                <w:szCs w:val="28"/>
              </w:rPr>
              <w:t>5</w:t>
            </w:r>
            <w:r w:rsidR="00DE36F7">
              <w:rPr>
                <w:rFonts w:ascii="Times New Roman" w:hAnsi="Times New Roman" w:cs="Times New Roman"/>
                <w:sz w:val="28"/>
                <w:szCs w:val="28"/>
              </w:rPr>
              <w:t>3</w:t>
            </w:r>
            <w:r w:rsidR="00BE4CDB">
              <w:rPr>
                <w:rFonts w:ascii="Times New Roman" w:hAnsi="Times New Roman" w:cs="Times New Roman"/>
                <w:sz w:val="28"/>
                <w:szCs w:val="28"/>
              </w:rPr>
              <w:t>00,0</w:t>
            </w:r>
          </w:p>
        </w:tc>
        <w:tc>
          <w:tcPr>
            <w:tcW w:w="1960" w:type="dxa"/>
          </w:tcPr>
          <w:p w14:paraId="416C7E50" w14:textId="00F43AD3" w:rsidR="00332DA4" w:rsidRDefault="00BE4CDB" w:rsidP="00C11300">
            <w:pPr>
              <w:pStyle w:val="ac"/>
              <w:jc w:val="both"/>
              <w:rPr>
                <w:rFonts w:ascii="Times New Roman" w:hAnsi="Times New Roman" w:cs="Times New Roman"/>
                <w:sz w:val="28"/>
                <w:szCs w:val="28"/>
              </w:rPr>
            </w:pPr>
            <w:r>
              <w:rPr>
                <w:rFonts w:ascii="Times New Roman" w:hAnsi="Times New Roman" w:cs="Times New Roman"/>
                <w:sz w:val="28"/>
                <w:szCs w:val="28"/>
              </w:rPr>
              <w:t>5</w:t>
            </w:r>
            <w:r w:rsidR="00D22A60">
              <w:rPr>
                <w:rFonts w:ascii="Times New Roman" w:hAnsi="Times New Roman" w:cs="Times New Roman"/>
                <w:sz w:val="28"/>
                <w:szCs w:val="28"/>
              </w:rPr>
              <w:t>0</w:t>
            </w:r>
            <w:r>
              <w:rPr>
                <w:rFonts w:ascii="Times New Roman" w:hAnsi="Times New Roman" w:cs="Times New Roman"/>
                <w:sz w:val="28"/>
                <w:szCs w:val="28"/>
              </w:rPr>
              <w:t>00,0</w:t>
            </w:r>
          </w:p>
        </w:tc>
        <w:tc>
          <w:tcPr>
            <w:tcW w:w="1859" w:type="dxa"/>
          </w:tcPr>
          <w:p w14:paraId="7A368AEA" w14:textId="640A8ABA" w:rsidR="00332DA4" w:rsidRDefault="00BE4CDB" w:rsidP="00C11300">
            <w:pPr>
              <w:pStyle w:val="ac"/>
              <w:jc w:val="both"/>
              <w:rPr>
                <w:rFonts w:ascii="Times New Roman" w:hAnsi="Times New Roman" w:cs="Times New Roman"/>
                <w:sz w:val="28"/>
                <w:szCs w:val="28"/>
              </w:rPr>
            </w:pPr>
            <w:r>
              <w:rPr>
                <w:rFonts w:ascii="Times New Roman" w:hAnsi="Times New Roman" w:cs="Times New Roman"/>
                <w:sz w:val="28"/>
                <w:szCs w:val="28"/>
              </w:rPr>
              <w:t>5</w:t>
            </w:r>
            <w:r w:rsidR="00D22A60">
              <w:rPr>
                <w:rFonts w:ascii="Times New Roman" w:hAnsi="Times New Roman" w:cs="Times New Roman"/>
                <w:sz w:val="28"/>
                <w:szCs w:val="28"/>
              </w:rPr>
              <w:t>8</w:t>
            </w:r>
            <w:r>
              <w:rPr>
                <w:rFonts w:ascii="Times New Roman" w:hAnsi="Times New Roman" w:cs="Times New Roman"/>
                <w:sz w:val="28"/>
                <w:szCs w:val="28"/>
              </w:rPr>
              <w:t>00,0</w:t>
            </w:r>
          </w:p>
        </w:tc>
        <w:tc>
          <w:tcPr>
            <w:tcW w:w="1859" w:type="dxa"/>
          </w:tcPr>
          <w:p w14:paraId="197C3AA1" w14:textId="50BCE6F8" w:rsidR="00332DA4" w:rsidRDefault="00DE36F7" w:rsidP="00C11300">
            <w:pPr>
              <w:pStyle w:val="ac"/>
              <w:jc w:val="both"/>
              <w:rPr>
                <w:rFonts w:ascii="Times New Roman" w:hAnsi="Times New Roman" w:cs="Times New Roman"/>
                <w:sz w:val="28"/>
                <w:szCs w:val="28"/>
              </w:rPr>
            </w:pPr>
            <w:r>
              <w:rPr>
                <w:rFonts w:ascii="Times New Roman" w:hAnsi="Times New Roman" w:cs="Times New Roman"/>
                <w:sz w:val="28"/>
                <w:szCs w:val="28"/>
              </w:rPr>
              <w:t>161</w:t>
            </w:r>
            <w:r w:rsidR="00BE4CDB">
              <w:rPr>
                <w:rFonts w:ascii="Times New Roman" w:hAnsi="Times New Roman" w:cs="Times New Roman"/>
                <w:sz w:val="28"/>
                <w:szCs w:val="28"/>
              </w:rPr>
              <w:t>00,0</w:t>
            </w:r>
          </w:p>
        </w:tc>
      </w:tr>
    </w:tbl>
    <w:p w14:paraId="1B0F180E" w14:textId="77777777" w:rsidR="00DD4D5D" w:rsidRDefault="00DD4D5D" w:rsidP="00332DA4">
      <w:pPr>
        <w:pStyle w:val="ac"/>
        <w:jc w:val="both"/>
        <w:rPr>
          <w:rFonts w:ascii="Times New Roman" w:hAnsi="Times New Roman" w:cs="Times New Roman"/>
          <w:sz w:val="28"/>
          <w:szCs w:val="28"/>
        </w:rPr>
      </w:pPr>
    </w:p>
    <w:p w14:paraId="3AA607AF" w14:textId="007A2F39" w:rsidR="00DD4D5D" w:rsidRPr="00332DA4" w:rsidRDefault="00332DA4" w:rsidP="00C11300">
      <w:pPr>
        <w:pStyle w:val="ac"/>
        <w:ind w:firstLine="708"/>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80145D" w:rsidRPr="00332DA4">
        <w:rPr>
          <w:rFonts w:ascii="Times New Roman" w:hAnsi="Times New Roman" w:cs="Times New Roman"/>
          <w:i/>
          <w:iCs/>
          <w:sz w:val="28"/>
          <w:szCs w:val="28"/>
        </w:rPr>
        <w:t xml:space="preserve">Підсумки та перспективи </w:t>
      </w:r>
    </w:p>
    <w:p w14:paraId="67159F61" w14:textId="77777777" w:rsidR="00A45B3B"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Середньостроковий план пріоритетних публічних інвестицій </w:t>
      </w:r>
      <w:r w:rsidR="00A45B3B">
        <w:rPr>
          <w:rFonts w:ascii="Times New Roman" w:hAnsi="Times New Roman" w:cs="Times New Roman"/>
          <w:sz w:val="28"/>
          <w:szCs w:val="28"/>
        </w:rPr>
        <w:t>Білозір</w:t>
      </w:r>
      <w:r w:rsidRPr="0030646B">
        <w:rPr>
          <w:rFonts w:ascii="Times New Roman" w:hAnsi="Times New Roman" w:cs="Times New Roman"/>
          <w:sz w:val="28"/>
          <w:szCs w:val="28"/>
        </w:rPr>
        <w:t xml:space="preserve">ської </w:t>
      </w:r>
      <w:r w:rsidR="00A45B3B">
        <w:rPr>
          <w:rFonts w:ascii="Times New Roman" w:hAnsi="Times New Roman" w:cs="Times New Roman"/>
          <w:sz w:val="28"/>
          <w:szCs w:val="28"/>
        </w:rPr>
        <w:t>сіль</w:t>
      </w:r>
      <w:r w:rsidRPr="0030646B">
        <w:rPr>
          <w:rFonts w:ascii="Times New Roman" w:hAnsi="Times New Roman" w:cs="Times New Roman"/>
          <w:sz w:val="28"/>
          <w:szCs w:val="28"/>
        </w:rPr>
        <w:t xml:space="preserve">ської територіальної громади – це документ, який визначає, на які сфери та напрямки громада планує спрямовувати свої кошти протягом наступних трьох років. Він є важливим інструментом для планування та реалізації проєктів, що фінансуються з місцевого бюджету. </w:t>
      </w:r>
    </w:p>
    <w:p w14:paraId="0FF71211" w14:textId="77777777" w:rsidR="00A45B3B"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забезпечать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утворить чітке розуміння пріоритетних сфер, що потребують державної підтримки у середньостроковому періоді. </w:t>
      </w:r>
    </w:p>
    <w:p w14:paraId="10AA505B" w14:textId="77777777" w:rsidR="00A45B3B"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проєктів та програм, а також формування єдиного проєктного портфеля публічних інвестицій держави і галузевих (секторальних) проєктних портфелів держави. </w:t>
      </w:r>
    </w:p>
    <w:p w14:paraId="23D428C6" w14:textId="77777777" w:rsidR="00010E64"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Підготовка проєктів та програм передбачає обов’язкове визначення напряму публічного інвестування у відповідній галузі (секторі), з яким пов’язаний проєкт чи програма, а також узгодження мети та цілей проєкту з таким напрямом. </w:t>
      </w:r>
    </w:p>
    <w:p w14:paraId="626AE7C6" w14:textId="77777777" w:rsidR="00010E64"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Оцінка проєктів та програм включає оцінку відповідності (скринінг), галузеву (секторальну) експертну оцінку та експерну оцінку, що передбачає </w:t>
      </w:r>
      <w:r w:rsidRPr="0030646B">
        <w:rPr>
          <w:rFonts w:ascii="Times New Roman" w:hAnsi="Times New Roman" w:cs="Times New Roman"/>
          <w:sz w:val="28"/>
          <w:szCs w:val="28"/>
        </w:rPr>
        <w:lastRenderedPageBreak/>
        <w:t>аналіз ряду показників, пов’язаних із напрямами публічного інвестування відповідних галузей (секторів).</w:t>
      </w:r>
    </w:p>
    <w:p w14:paraId="57EE638B" w14:textId="77777777" w:rsidR="00010E64" w:rsidRDefault="0080145D" w:rsidP="00C11300">
      <w:pPr>
        <w:pStyle w:val="ac"/>
        <w:ind w:firstLine="708"/>
        <w:jc w:val="both"/>
        <w:rPr>
          <w:rFonts w:ascii="Times New Roman" w:hAnsi="Times New Roman" w:cs="Times New Roman"/>
          <w:sz w:val="28"/>
          <w:szCs w:val="28"/>
        </w:rPr>
      </w:pPr>
      <w:r w:rsidRPr="0030646B">
        <w:rPr>
          <w:rFonts w:ascii="Times New Roman" w:hAnsi="Times New Roman" w:cs="Times New Roman"/>
          <w:sz w:val="28"/>
          <w:szCs w:val="28"/>
        </w:rPr>
        <w:t xml:space="preserve"> Без визначення напрямів для публічного інвестування неможлива </w:t>
      </w:r>
      <w:proofErr w:type="spellStart"/>
      <w:r w:rsidRPr="0030646B">
        <w:rPr>
          <w:rFonts w:ascii="Times New Roman" w:hAnsi="Times New Roman" w:cs="Times New Roman"/>
          <w:sz w:val="28"/>
          <w:szCs w:val="28"/>
        </w:rPr>
        <w:t>пріоритезація</w:t>
      </w:r>
      <w:proofErr w:type="spellEnd"/>
      <w:r w:rsidRPr="0030646B">
        <w:rPr>
          <w:rFonts w:ascii="Times New Roman" w:hAnsi="Times New Roman" w:cs="Times New Roman"/>
          <w:sz w:val="28"/>
          <w:szCs w:val="28"/>
        </w:rPr>
        <w:t xml:space="preserve"> </w:t>
      </w:r>
      <w:proofErr w:type="spellStart"/>
      <w:r w:rsidRPr="0030646B">
        <w:rPr>
          <w:rFonts w:ascii="Times New Roman" w:hAnsi="Times New Roman" w:cs="Times New Roman"/>
          <w:sz w:val="28"/>
          <w:szCs w:val="28"/>
        </w:rPr>
        <w:t>проєктів</w:t>
      </w:r>
      <w:proofErr w:type="spellEnd"/>
      <w:r w:rsidRPr="0030646B">
        <w:rPr>
          <w:rFonts w:ascii="Times New Roman" w:hAnsi="Times New Roman" w:cs="Times New Roman"/>
          <w:sz w:val="28"/>
          <w:szCs w:val="28"/>
        </w:rPr>
        <w:t xml:space="preserve">, які включені до галузевого (секторального) проєктного портфеля. </w:t>
      </w:r>
      <w:proofErr w:type="spellStart"/>
      <w:r w:rsidRPr="0030646B">
        <w:rPr>
          <w:rFonts w:ascii="Times New Roman" w:hAnsi="Times New Roman" w:cs="Times New Roman"/>
          <w:sz w:val="28"/>
          <w:szCs w:val="28"/>
        </w:rPr>
        <w:t>Пріоритезація</w:t>
      </w:r>
      <w:proofErr w:type="spellEnd"/>
      <w:r w:rsidRPr="0030646B">
        <w:rPr>
          <w:rFonts w:ascii="Times New Roman" w:hAnsi="Times New Roman" w:cs="Times New Roman"/>
          <w:sz w:val="28"/>
          <w:szCs w:val="28"/>
        </w:rPr>
        <w:t xml:space="preserve"> </w:t>
      </w:r>
      <w:proofErr w:type="spellStart"/>
      <w:r w:rsidRPr="0030646B">
        <w:rPr>
          <w:rFonts w:ascii="Times New Roman" w:hAnsi="Times New Roman" w:cs="Times New Roman"/>
          <w:sz w:val="28"/>
          <w:szCs w:val="28"/>
        </w:rPr>
        <w:t>проєктів</w:t>
      </w:r>
      <w:proofErr w:type="spellEnd"/>
      <w:r w:rsidRPr="0030646B">
        <w:rPr>
          <w:rFonts w:ascii="Times New Roman" w:hAnsi="Times New Roman" w:cs="Times New Roman"/>
          <w:sz w:val="28"/>
          <w:szCs w:val="28"/>
        </w:rPr>
        <w:t xml:space="preserve"> здійснюється в межах напряму відповідно до критеріїв </w:t>
      </w:r>
      <w:proofErr w:type="spellStart"/>
      <w:r w:rsidRPr="0030646B">
        <w:rPr>
          <w:rFonts w:ascii="Times New Roman" w:hAnsi="Times New Roman" w:cs="Times New Roman"/>
          <w:sz w:val="28"/>
          <w:szCs w:val="28"/>
        </w:rPr>
        <w:t>пріоритезації</w:t>
      </w:r>
      <w:proofErr w:type="spellEnd"/>
      <w:r w:rsidRPr="0030646B">
        <w:rPr>
          <w:rFonts w:ascii="Times New Roman" w:hAnsi="Times New Roman" w:cs="Times New Roman"/>
          <w:sz w:val="28"/>
          <w:szCs w:val="28"/>
        </w:rPr>
        <w:t>, визначених виконавчим органом міської ради, відповідальним за реалізацію державної політики у відповідній галузі (секторі), та передбачає розрахунок пріоритетності проєктів за бальною системою з метою формування рейтингових списків таких проєктів за кожним напрямом публічного інвестування.</w:t>
      </w:r>
    </w:p>
    <w:p w14:paraId="2F8B718A" w14:textId="4339171A" w:rsidR="00132F76" w:rsidRPr="00132F76" w:rsidRDefault="0080145D" w:rsidP="00132F76">
      <w:pPr>
        <w:pStyle w:val="ac"/>
        <w:ind w:firstLine="708"/>
        <w:jc w:val="both"/>
        <w:rPr>
          <w:rFonts w:ascii="Times New Roman" w:hAnsi="Times New Roman" w:cs="Times New Roman"/>
          <w:sz w:val="28"/>
          <w:szCs w:val="28"/>
        </w:rPr>
      </w:pPr>
      <w:r w:rsidRPr="00132F76">
        <w:rPr>
          <w:rFonts w:ascii="Times New Roman" w:hAnsi="Times New Roman" w:cs="Times New Roman"/>
          <w:sz w:val="28"/>
          <w:szCs w:val="28"/>
        </w:rPr>
        <w:t xml:space="preserve"> В подальшому лише ті проєкти та програми, що включені до галузевого (секторального) проєктного портфеля та відповідають основним напрямам публічного інвестування, визначеним </w:t>
      </w:r>
      <w:r w:rsidR="006D58C8" w:rsidRPr="00132F76">
        <w:rPr>
          <w:rFonts w:ascii="Times New Roman" w:hAnsi="Times New Roman" w:cs="Times New Roman"/>
          <w:sz w:val="28"/>
          <w:szCs w:val="28"/>
        </w:rPr>
        <w:t xml:space="preserve">в СПІ 2027-2029 </w:t>
      </w:r>
      <w:r w:rsidRPr="00132F76">
        <w:rPr>
          <w:rFonts w:ascii="Times New Roman" w:hAnsi="Times New Roman" w:cs="Times New Roman"/>
          <w:sz w:val="28"/>
          <w:szCs w:val="28"/>
        </w:rPr>
        <w:t xml:space="preserve">можуть бути включені в Єдиний проєктний портфель публічних інвестицій </w:t>
      </w:r>
      <w:r w:rsidR="006D58C8" w:rsidRPr="00132F76">
        <w:rPr>
          <w:rFonts w:ascii="Times New Roman" w:hAnsi="Times New Roman" w:cs="Times New Roman"/>
          <w:sz w:val="28"/>
          <w:szCs w:val="28"/>
        </w:rPr>
        <w:t>громади</w:t>
      </w:r>
      <w:r w:rsidRPr="00132F76">
        <w:rPr>
          <w:rFonts w:ascii="Times New Roman" w:hAnsi="Times New Roman" w:cs="Times New Roman"/>
          <w:sz w:val="28"/>
          <w:szCs w:val="28"/>
        </w:rPr>
        <w:t xml:space="preserve">, </w:t>
      </w:r>
      <w:r w:rsidR="006D58C8" w:rsidRPr="00132F76">
        <w:rPr>
          <w:rFonts w:ascii="Times New Roman" w:hAnsi="Times New Roman" w:cs="Times New Roman"/>
          <w:sz w:val="28"/>
          <w:szCs w:val="28"/>
        </w:rPr>
        <w:t xml:space="preserve">та </w:t>
      </w:r>
      <w:r w:rsidRPr="00132F76">
        <w:rPr>
          <w:rFonts w:ascii="Times New Roman" w:hAnsi="Times New Roman" w:cs="Times New Roman"/>
          <w:sz w:val="28"/>
          <w:szCs w:val="28"/>
        </w:rPr>
        <w:t>відповідно зможуть отримати фінансування за рахунок коштів державного бюджету та/або з наданням державної підтримки.</w:t>
      </w:r>
    </w:p>
    <w:p w14:paraId="1C5AB945" w14:textId="77777777" w:rsidR="00132F76" w:rsidRPr="00132F76" w:rsidRDefault="00132F76" w:rsidP="00132F76">
      <w:pPr>
        <w:pStyle w:val="ac"/>
        <w:ind w:firstLine="708"/>
        <w:jc w:val="both"/>
        <w:rPr>
          <w:rFonts w:ascii="Times New Roman" w:hAnsi="Times New Roman" w:cs="Times New Roman"/>
          <w:sz w:val="28"/>
          <w:szCs w:val="28"/>
        </w:rPr>
      </w:pPr>
      <w:r w:rsidRPr="00132F76">
        <w:rPr>
          <w:rFonts w:ascii="Times New Roman" w:hAnsi="Times New Roman" w:cs="Times New Roman"/>
          <w:sz w:val="28"/>
          <w:szCs w:val="28"/>
        </w:rPr>
        <w:t>Важливими передумовами успішної реалізації СПІ 2027–2029 у громаді є:</w:t>
      </w:r>
    </w:p>
    <w:p w14:paraId="5F82527F" w14:textId="77777777" w:rsidR="00132F76" w:rsidRPr="00132F76" w:rsidRDefault="00132F76" w:rsidP="00132F76">
      <w:pPr>
        <w:pStyle w:val="ac"/>
        <w:numPr>
          <w:ilvl w:val="0"/>
          <w:numId w:val="1"/>
        </w:numPr>
        <w:jc w:val="both"/>
        <w:rPr>
          <w:rFonts w:ascii="Times New Roman" w:hAnsi="Times New Roman" w:cs="Times New Roman"/>
          <w:sz w:val="28"/>
          <w:szCs w:val="28"/>
        </w:rPr>
      </w:pPr>
      <w:r w:rsidRPr="00132F76">
        <w:rPr>
          <w:rFonts w:ascii="Times New Roman" w:hAnsi="Times New Roman" w:cs="Times New Roman"/>
          <w:sz w:val="28"/>
          <w:szCs w:val="28"/>
        </w:rPr>
        <w:t>розвиток єдиної цифрової екосистеми управління місцевими інвестиціями та забезпечення взаємодії комунальних інформаційних систем;</w:t>
      </w:r>
    </w:p>
    <w:p w14:paraId="25A3C873" w14:textId="77777777" w:rsidR="00132F76" w:rsidRPr="00132F76" w:rsidRDefault="00132F76" w:rsidP="00132F76">
      <w:pPr>
        <w:pStyle w:val="ac"/>
        <w:numPr>
          <w:ilvl w:val="0"/>
          <w:numId w:val="1"/>
        </w:numPr>
        <w:jc w:val="both"/>
        <w:rPr>
          <w:rFonts w:ascii="Times New Roman" w:hAnsi="Times New Roman" w:cs="Times New Roman"/>
          <w:sz w:val="28"/>
          <w:szCs w:val="28"/>
        </w:rPr>
      </w:pPr>
      <w:r w:rsidRPr="00132F76">
        <w:rPr>
          <w:rFonts w:ascii="Times New Roman" w:hAnsi="Times New Roman" w:cs="Times New Roman"/>
          <w:sz w:val="28"/>
          <w:szCs w:val="28"/>
        </w:rPr>
        <w:t>підвищення якості підготовки інвестиційних проєктів та програм громади, зокрема шляхом застосування уніфікованих методологічних підходів;</w:t>
      </w:r>
    </w:p>
    <w:p w14:paraId="174DB65A" w14:textId="77777777" w:rsidR="00132F76" w:rsidRPr="00132F76" w:rsidRDefault="00132F76" w:rsidP="00132F76">
      <w:pPr>
        <w:pStyle w:val="ac"/>
        <w:numPr>
          <w:ilvl w:val="0"/>
          <w:numId w:val="1"/>
        </w:numPr>
        <w:jc w:val="both"/>
        <w:rPr>
          <w:rFonts w:ascii="Times New Roman" w:hAnsi="Times New Roman" w:cs="Times New Roman"/>
          <w:sz w:val="28"/>
          <w:szCs w:val="28"/>
        </w:rPr>
      </w:pPr>
      <w:r w:rsidRPr="00132F76">
        <w:rPr>
          <w:rFonts w:ascii="Times New Roman" w:hAnsi="Times New Roman" w:cs="Times New Roman"/>
          <w:sz w:val="28"/>
          <w:szCs w:val="28"/>
        </w:rPr>
        <w:t>забезпечення досягнення результатів та цільових показників напрямів інвестування на місцевому рівні.</w:t>
      </w:r>
    </w:p>
    <w:p w14:paraId="1B59549E" w14:textId="77777777" w:rsidR="00132F76" w:rsidRPr="00132F76" w:rsidRDefault="00132F76" w:rsidP="00132F76">
      <w:pPr>
        <w:pStyle w:val="ac"/>
        <w:ind w:firstLine="708"/>
        <w:jc w:val="both"/>
        <w:rPr>
          <w:rFonts w:ascii="Times New Roman" w:hAnsi="Times New Roman" w:cs="Times New Roman"/>
          <w:sz w:val="28"/>
          <w:szCs w:val="28"/>
        </w:rPr>
      </w:pPr>
      <w:r w:rsidRPr="00132F76">
        <w:rPr>
          <w:rFonts w:ascii="Times New Roman" w:hAnsi="Times New Roman" w:cs="Times New Roman"/>
          <w:sz w:val="28"/>
          <w:szCs w:val="28"/>
        </w:rPr>
        <w:t>Реалізація СПІ 2027–2029 сприятиме прискореному відновленню громади, зміцненню її економічної спроможності та досягненню стратегічних цілей розвитку у середньостроковій перспективі.</w:t>
      </w:r>
    </w:p>
    <w:p w14:paraId="798D6033" w14:textId="04E91788" w:rsidR="00132F76" w:rsidRDefault="00132F76" w:rsidP="00C11300">
      <w:pPr>
        <w:pStyle w:val="ac"/>
        <w:ind w:firstLine="708"/>
        <w:jc w:val="both"/>
        <w:rPr>
          <w:rFonts w:ascii="Times New Roman" w:hAnsi="Times New Roman" w:cs="Times New Roman"/>
          <w:b/>
          <w:bCs/>
          <w:sz w:val="28"/>
          <w:szCs w:val="28"/>
        </w:rPr>
        <w:sectPr w:rsidR="00132F76">
          <w:pgSz w:w="11906" w:h="16838"/>
          <w:pgMar w:top="850" w:right="850" w:bottom="850" w:left="1417" w:header="708" w:footer="708" w:gutter="0"/>
          <w:cols w:space="708"/>
          <w:docGrid w:linePitch="360"/>
        </w:sectPr>
      </w:pPr>
    </w:p>
    <w:p w14:paraId="0BAC15CE" w14:textId="77777777" w:rsidR="00A723AB" w:rsidRDefault="00A723AB" w:rsidP="00C11300">
      <w:pPr>
        <w:pStyle w:val="ac"/>
        <w:ind w:firstLine="708"/>
        <w:jc w:val="both"/>
        <w:rPr>
          <w:rFonts w:ascii="Times New Roman" w:hAnsi="Times New Roman" w:cs="Times New Roman"/>
          <w:sz w:val="28"/>
          <w:szCs w:val="28"/>
        </w:rPr>
      </w:pPr>
    </w:p>
    <w:p w14:paraId="6357066F" w14:textId="021FBC91" w:rsidR="00A723AB" w:rsidRPr="00A723AB" w:rsidRDefault="00A723AB" w:rsidP="00A723AB">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Галузь (сектор) для публічного інвестування – </w:t>
      </w:r>
      <w:r w:rsidRPr="000275DF">
        <w:rPr>
          <w:rFonts w:ascii="Times New Roman" w:hAnsi="Times New Roman" w:cs="Times New Roman"/>
          <w:b/>
          <w:bCs/>
          <w:sz w:val="28"/>
          <w:szCs w:val="28"/>
          <w:u w:val="single"/>
        </w:rPr>
        <w:t>муніципальна інфраструктура та послуги</w:t>
      </w:r>
    </w:p>
    <w:p w14:paraId="7E5BC62D" w14:textId="0F865412" w:rsidR="006045D3" w:rsidRDefault="00A723AB" w:rsidP="00A723AB">
      <w:pPr>
        <w:pStyle w:val="ac"/>
        <w:jc w:val="both"/>
        <w:rPr>
          <w:rFonts w:ascii="Times New Roman" w:hAnsi="Times New Roman" w:cs="Times New Roman"/>
          <w:sz w:val="28"/>
          <w:szCs w:val="28"/>
        </w:rPr>
      </w:pPr>
      <w:r w:rsidRPr="00A723AB">
        <w:rPr>
          <w:rFonts w:ascii="Times New Roman" w:hAnsi="Times New Roman" w:cs="Times New Roman"/>
          <w:sz w:val="28"/>
          <w:szCs w:val="28"/>
        </w:rPr>
        <w:t>Головний розпорядник коштів місцевого бюджету, відповідальний за галузь (сектор) для публічного інвестування</w:t>
      </w:r>
      <w:r>
        <w:rPr>
          <w:rFonts w:ascii="Times New Roman" w:hAnsi="Times New Roman" w:cs="Times New Roman"/>
          <w:sz w:val="28"/>
          <w:szCs w:val="28"/>
        </w:rPr>
        <w:t xml:space="preserve"> -Управління архітектури та містобудування Білозірської сільської ради.</w:t>
      </w:r>
    </w:p>
    <w:p w14:paraId="43817364" w14:textId="4E55FB9F" w:rsidR="00A723AB" w:rsidRDefault="00A723AB" w:rsidP="00A723AB">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DE42DE">
        <w:rPr>
          <w:rFonts w:ascii="Times New Roman" w:hAnsi="Times New Roman" w:cs="Times New Roman"/>
          <w:sz w:val="28"/>
          <w:szCs w:val="28"/>
        </w:rPr>
        <w:t>2</w:t>
      </w:r>
      <w:r>
        <w:rPr>
          <w:rFonts w:ascii="Times New Roman" w:hAnsi="Times New Roman" w:cs="Times New Roman"/>
          <w:sz w:val="28"/>
          <w:szCs w:val="28"/>
        </w:rPr>
        <w:t>500,0</w:t>
      </w:r>
      <w:r w:rsidRPr="00A723AB">
        <w:rPr>
          <w:rFonts w:ascii="Times New Roman" w:hAnsi="Times New Roman" w:cs="Times New Roman"/>
          <w:sz w:val="28"/>
          <w:szCs w:val="28"/>
        </w:rPr>
        <w:t xml:space="preserve"> тис.</w:t>
      </w:r>
      <w:r w:rsidR="00BD21DD">
        <w:rPr>
          <w:rFonts w:ascii="Times New Roman" w:hAnsi="Times New Roman" w:cs="Times New Roman"/>
          <w:sz w:val="28"/>
          <w:szCs w:val="28"/>
        </w:rPr>
        <w:t xml:space="preserve"> </w:t>
      </w:r>
      <w:r w:rsidRPr="00A723AB">
        <w:rPr>
          <w:rFonts w:ascii="Times New Roman" w:hAnsi="Times New Roman" w:cs="Times New Roman"/>
          <w:sz w:val="28"/>
          <w:szCs w:val="28"/>
        </w:rPr>
        <w:t>грн.</w:t>
      </w:r>
    </w:p>
    <w:p w14:paraId="2F6E0695" w14:textId="77777777" w:rsidR="00A723AB" w:rsidRPr="00A723AB" w:rsidRDefault="00A723AB" w:rsidP="00A723AB">
      <w:pPr>
        <w:pStyle w:val="ac"/>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63"/>
        <w:gridCol w:w="2977"/>
        <w:gridCol w:w="2698"/>
        <w:gridCol w:w="2044"/>
        <w:gridCol w:w="1554"/>
        <w:gridCol w:w="1819"/>
        <w:gridCol w:w="1773"/>
      </w:tblGrid>
      <w:tr w:rsidR="00F5741F" w14:paraId="0794AAC2" w14:textId="77777777" w:rsidTr="00F5741F">
        <w:tc>
          <w:tcPr>
            <w:tcW w:w="2263" w:type="dxa"/>
          </w:tcPr>
          <w:p w14:paraId="174A668F" w14:textId="78DBF570" w:rsidR="00F5741F" w:rsidRPr="00A723AB" w:rsidRDefault="00F5741F" w:rsidP="00F5741F">
            <w:pPr>
              <w:pStyle w:val="ac"/>
              <w:jc w:val="both"/>
              <w:rPr>
                <w:rFonts w:ascii="Times New Roman" w:hAnsi="Times New Roman" w:cs="Times New Roman"/>
                <w:sz w:val="28"/>
                <w:szCs w:val="28"/>
              </w:rPr>
            </w:pPr>
            <w:proofErr w:type="spellStart"/>
            <w:r w:rsidRPr="00690508">
              <w:rPr>
                <w:rFonts w:ascii="Times New Roman" w:hAnsi="Times New Roman" w:cs="Times New Roman"/>
                <w:sz w:val="28"/>
                <w:szCs w:val="28"/>
              </w:rPr>
              <w:t>Підсектор</w:t>
            </w:r>
            <w:proofErr w:type="spellEnd"/>
            <w:r w:rsidRPr="00690508">
              <w:rPr>
                <w:rFonts w:ascii="Times New Roman" w:hAnsi="Times New Roman" w:cs="Times New Roman"/>
                <w:sz w:val="28"/>
                <w:szCs w:val="28"/>
              </w:rPr>
              <w:t xml:space="preserve"> галузі (сектору) для публічного інвестування</w:t>
            </w:r>
          </w:p>
        </w:tc>
        <w:tc>
          <w:tcPr>
            <w:tcW w:w="2977" w:type="dxa"/>
          </w:tcPr>
          <w:p w14:paraId="1C4D2816" w14:textId="74E31A89"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Основний напрям публічного інвестування</w:t>
            </w:r>
          </w:p>
        </w:tc>
        <w:tc>
          <w:tcPr>
            <w:tcW w:w="2698" w:type="dxa"/>
          </w:tcPr>
          <w:p w14:paraId="570786F1" w14:textId="43B85C23"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Найменування цільового показника</w:t>
            </w:r>
          </w:p>
        </w:tc>
        <w:tc>
          <w:tcPr>
            <w:tcW w:w="2044" w:type="dxa"/>
          </w:tcPr>
          <w:p w14:paraId="56D0B92B" w14:textId="0BC02F76"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Базове значення (%)</w:t>
            </w:r>
          </w:p>
        </w:tc>
        <w:tc>
          <w:tcPr>
            <w:tcW w:w="1554" w:type="dxa"/>
          </w:tcPr>
          <w:p w14:paraId="205C9CDC" w14:textId="24366EEE"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2027 р. (%</w:t>
            </w:r>
          </w:p>
        </w:tc>
        <w:tc>
          <w:tcPr>
            <w:tcW w:w="1819" w:type="dxa"/>
          </w:tcPr>
          <w:p w14:paraId="1BFA6F87" w14:textId="3A5B25D7"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sidR="000275DF">
              <w:rPr>
                <w:rFonts w:ascii="Times New Roman" w:hAnsi="Times New Roman" w:cs="Times New Roman"/>
                <w:sz w:val="28"/>
                <w:szCs w:val="28"/>
              </w:rPr>
              <w:t>8</w:t>
            </w:r>
            <w:r w:rsidRPr="00690508">
              <w:rPr>
                <w:rFonts w:ascii="Times New Roman" w:hAnsi="Times New Roman" w:cs="Times New Roman"/>
                <w:sz w:val="28"/>
                <w:szCs w:val="28"/>
              </w:rPr>
              <w:t xml:space="preserve"> р. (%</w:t>
            </w:r>
          </w:p>
        </w:tc>
        <w:tc>
          <w:tcPr>
            <w:tcW w:w="1773" w:type="dxa"/>
          </w:tcPr>
          <w:p w14:paraId="71954C15" w14:textId="615656D4" w:rsidR="00F5741F" w:rsidRPr="00A723AB" w:rsidRDefault="00F5741F" w:rsidP="00F5741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sidR="000275DF">
              <w:rPr>
                <w:rFonts w:ascii="Times New Roman" w:hAnsi="Times New Roman" w:cs="Times New Roman"/>
                <w:sz w:val="28"/>
                <w:szCs w:val="28"/>
              </w:rPr>
              <w:t>9</w:t>
            </w:r>
            <w:r w:rsidRPr="00690508">
              <w:rPr>
                <w:rFonts w:ascii="Times New Roman" w:hAnsi="Times New Roman" w:cs="Times New Roman"/>
                <w:sz w:val="28"/>
                <w:szCs w:val="28"/>
              </w:rPr>
              <w:t xml:space="preserve"> р. (%</w:t>
            </w:r>
          </w:p>
        </w:tc>
      </w:tr>
      <w:tr w:rsidR="00F5741F" w14:paraId="3621CF86" w14:textId="77777777" w:rsidTr="00F5741F">
        <w:tc>
          <w:tcPr>
            <w:tcW w:w="2263" w:type="dxa"/>
          </w:tcPr>
          <w:p w14:paraId="545FB078" w14:textId="42311A5E" w:rsidR="00F5741F" w:rsidRPr="00DE42DE" w:rsidRDefault="00F5741F" w:rsidP="00C11300">
            <w:pPr>
              <w:pStyle w:val="ac"/>
              <w:jc w:val="both"/>
              <w:rPr>
                <w:rFonts w:ascii="Times New Roman" w:hAnsi="Times New Roman" w:cs="Times New Roman"/>
                <w:sz w:val="28"/>
                <w:szCs w:val="28"/>
              </w:rPr>
            </w:pPr>
            <w:r w:rsidRPr="00F5741F">
              <w:rPr>
                <w:rFonts w:ascii="Times New Roman" w:hAnsi="Times New Roman" w:cs="Times New Roman"/>
                <w:sz w:val="28"/>
                <w:szCs w:val="28"/>
              </w:rPr>
              <w:t>Водопостачання та водовідведення</w:t>
            </w:r>
          </w:p>
        </w:tc>
        <w:tc>
          <w:tcPr>
            <w:tcW w:w="2977" w:type="dxa"/>
          </w:tcPr>
          <w:p w14:paraId="7601E0A1" w14:textId="4F9A221C" w:rsidR="00F5741F" w:rsidRPr="00DE42DE" w:rsidRDefault="00BD21DD" w:rsidP="00C11300">
            <w:pPr>
              <w:pStyle w:val="ac"/>
              <w:jc w:val="both"/>
              <w:rPr>
                <w:rFonts w:ascii="Times New Roman" w:hAnsi="Times New Roman" w:cs="Times New Roman"/>
                <w:sz w:val="28"/>
                <w:szCs w:val="28"/>
              </w:rPr>
            </w:pPr>
            <w:r w:rsidRPr="00BD21DD">
              <w:rPr>
                <w:rFonts w:ascii="Times New Roman" w:hAnsi="Times New Roman" w:cs="Times New Roman"/>
                <w:sz w:val="28"/>
                <w:szCs w:val="28"/>
              </w:rPr>
              <w:t>Відновлення розвиток та модернізація  інфраструктури модернізованого водопостачання</w:t>
            </w:r>
          </w:p>
        </w:tc>
        <w:tc>
          <w:tcPr>
            <w:tcW w:w="2698" w:type="dxa"/>
          </w:tcPr>
          <w:p w14:paraId="4113760D" w14:textId="47F419C6" w:rsidR="00F5741F" w:rsidRPr="00DE42DE" w:rsidRDefault="00BD21DD" w:rsidP="00C11300">
            <w:pPr>
              <w:pStyle w:val="ac"/>
              <w:jc w:val="both"/>
              <w:rPr>
                <w:rFonts w:ascii="Times New Roman" w:hAnsi="Times New Roman" w:cs="Times New Roman"/>
                <w:sz w:val="28"/>
                <w:szCs w:val="28"/>
              </w:rPr>
            </w:pPr>
            <w:r w:rsidRPr="00BD21DD">
              <w:rPr>
                <w:rFonts w:ascii="Times New Roman" w:hAnsi="Times New Roman" w:cs="Times New Roman"/>
                <w:sz w:val="28"/>
                <w:szCs w:val="28"/>
              </w:rPr>
              <w:t>Частка мережі водо</w:t>
            </w:r>
            <w:r>
              <w:rPr>
                <w:rFonts w:ascii="Times New Roman" w:hAnsi="Times New Roman" w:cs="Times New Roman"/>
                <w:sz w:val="28"/>
                <w:szCs w:val="28"/>
              </w:rPr>
              <w:t>постачання</w:t>
            </w:r>
            <w:r w:rsidRPr="00BD21DD">
              <w:rPr>
                <w:rFonts w:ascii="Times New Roman" w:hAnsi="Times New Roman" w:cs="Times New Roman"/>
                <w:sz w:val="28"/>
                <w:szCs w:val="28"/>
              </w:rPr>
              <w:t>, що перебуває у справному стані</w:t>
            </w:r>
          </w:p>
        </w:tc>
        <w:tc>
          <w:tcPr>
            <w:tcW w:w="2044" w:type="dxa"/>
          </w:tcPr>
          <w:p w14:paraId="22A4AA6A" w14:textId="3144E0E6" w:rsidR="00F5741F" w:rsidRPr="00DE42DE"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96</w:t>
            </w:r>
          </w:p>
        </w:tc>
        <w:tc>
          <w:tcPr>
            <w:tcW w:w="1554" w:type="dxa"/>
          </w:tcPr>
          <w:p w14:paraId="222A683F" w14:textId="25AA30B3" w:rsidR="00F5741F"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96</w:t>
            </w:r>
          </w:p>
        </w:tc>
        <w:tc>
          <w:tcPr>
            <w:tcW w:w="1819" w:type="dxa"/>
          </w:tcPr>
          <w:p w14:paraId="4FEDF428" w14:textId="2A24DC1B" w:rsidR="00F5741F"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100</w:t>
            </w:r>
          </w:p>
        </w:tc>
        <w:tc>
          <w:tcPr>
            <w:tcW w:w="1773" w:type="dxa"/>
          </w:tcPr>
          <w:p w14:paraId="76BC7001" w14:textId="3757ABD6" w:rsidR="00F5741F" w:rsidRPr="00A723AB"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100</w:t>
            </w:r>
          </w:p>
        </w:tc>
      </w:tr>
      <w:tr w:rsidR="00BD21DD" w14:paraId="10A36D56" w14:textId="77777777" w:rsidTr="00F5741F">
        <w:tc>
          <w:tcPr>
            <w:tcW w:w="2263" w:type="dxa"/>
          </w:tcPr>
          <w:p w14:paraId="69FE2078" w14:textId="7EEFC9A9" w:rsidR="00BD21DD" w:rsidRPr="00F5741F" w:rsidRDefault="00BD21DD" w:rsidP="00C11300">
            <w:pPr>
              <w:pStyle w:val="ac"/>
              <w:jc w:val="both"/>
              <w:rPr>
                <w:rFonts w:ascii="Times New Roman" w:hAnsi="Times New Roman" w:cs="Times New Roman"/>
                <w:sz w:val="28"/>
                <w:szCs w:val="28"/>
              </w:rPr>
            </w:pPr>
            <w:r w:rsidRPr="00BD21DD">
              <w:rPr>
                <w:rFonts w:ascii="Times New Roman" w:hAnsi="Times New Roman" w:cs="Times New Roman"/>
                <w:sz w:val="28"/>
                <w:szCs w:val="28"/>
              </w:rPr>
              <w:t>Водопостачання та водовідведення</w:t>
            </w:r>
          </w:p>
        </w:tc>
        <w:tc>
          <w:tcPr>
            <w:tcW w:w="2977" w:type="dxa"/>
          </w:tcPr>
          <w:p w14:paraId="553094C1" w14:textId="743089A4" w:rsidR="00BD21DD" w:rsidRPr="00BD21DD" w:rsidRDefault="00BD21DD" w:rsidP="00C11300">
            <w:pPr>
              <w:pStyle w:val="ac"/>
              <w:jc w:val="both"/>
              <w:rPr>
                <w:rFonts w:ascii="Times New Roman" w:hAnsi="Times New Roman" w:cs="Times New Roman"/>
                <w:sz w:val="28"/>
                <w:szCs w:val="28"/>
              </w:rPr>
            </w:pPr>
            <w:r w:rsidRPr="00BD21DD">
              <w:rPr>
                <w:rFonts w:ascii="Times New Roman" w:hAnsi="Times New Roman" w:cs="Times New Roman"/>
                <w:sz w:val="28"/>
                <w:szCs w:val="28"/>
              </w:rPr>
              <w:t>Відновлення розвиток та модернізація  інфраструктури модернізованого</w:t>
            </w:r>
            <w:r>
              <w:rPr>
                <w:rFonts w:ascii="Times New Roman" w:hAnsi="Times New Roman" w:cs="Times New Roman"/>
                <w:sz w:val="28"/>
                <w:szCs w:val="28"/>
              </w:rPr>
              <w:t xml:space="preserve"> водовідведення</w:t>
            </w:r>
          </w:p>
        </w:tc>
        <w:tc>
          <w:tcPr>
            <w:tcW w:w="2698" w:type="dxa"/>
          </w:tcPr>
          <w:p w14:paraId="43C78A67" w14:textId="1091BD80" w:rsidR="00BD21DD" w:rsidRPr="00BD21DD" w:rsidRDefault="00BD21DD" w:rsidP="00C11300">
            <w:pPr>
              <w:pStyle w:val="ac"/>
              <w:jc w:val="both"/>
              <w:rPr>
                <w:rFonts w:ascii="Times New Roman" w:hAnsi="Times New Roman" w:cs="Times New Roman"/>
                <w:sz w:val="28"/>
                <w:szCs w:val="28"/>
              </w:rPr>
            </w:pPr>
            <w:r w:rsidRPr="00BD21DD">
              <w:rPr>
                <w:rFonts w:ascii="Times New Roman" w:hAnsi="Times New Roman" w:cs="Times New Roman"/>
                <w:sz w:val="28"/>
                <w:szCs w:val="28"/>
              </w:rPr>
              <w:t>Частка мережі водовідведення, що перебуває у справному стані</w:t>
            </w:r>
          </w:p>
        </w:tc>
        <w:tc>
          <w:tcPr>
            <w:tcW w:w="2044" w:type="dxa"/>
          </w:tcPr>
          <w:p w14:paraId="59156689" w14:textId="5366CF6C" w:rsidR="00BD21DD"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97</w:t>
            </w:r>
          </w:p>
        </w:tc>
        <w:tc>
          <w:tcPr>
            <w:tcW w:w="1554" w:type="dxa"/>
          </w:tcPr>
          <w:p w14:paraId="250B7CCC" w14:textId="23D67BFE" w:rsidR="00BD21DD"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97</w:t>
            </w:r>
          </w:p>
        </w:tc>
        <w:tc>
          <w:tcPr>
            <w:tcW w:w="1819" w:type="dxa"/>
          </w:tcPr>
          <w:p w14:paraId="44BF6E95" w14:textId="4A039BEB" w:rsidR="00BD21DD"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97</w:t>
            </w:r>
          </w:p>
        </w:tc>
        <w:tc>
          <w:tcPr>
            <w:tcW w:w="1773" w:type="dxa"/>
          </w:tcPr>
          <w:p w14:paraId="7F02271D" w14:textId="65A03674" w:rsidR="00BD21DD" w:rsidRDefault="00BD21DD" w:rsidP="00C11300">
            <w:pPr>
              <w:pStyle w:val="ac"/>
              <w:jc w:val="both"/>
              <w:rPr>
                <w:rFonts w:ascii="Times New Roman" w:hAnsi="Times New Roman" w:cs="Times New Roman"/>
                <w:sz w:val="28"/>
                <w:szCs w:val="28"/>
              </w:rPr>
            </w:pPr>
            <w:r>
              <w:rPr>
                <w:rFonts w:ascii="Times New Roman" w:hAnsi="Times New Roman" w:cs="Times New Roman"/>
                <w:sz w:val="28"/>
                <w:szCs w:val="28"/>
              </w:rPr>
              <w:t>100</w:t>
            </w:r>
          </w:p>
        </w:tc>
      </w:tr>
    </w:tbl>
    <w:p w14:paraId="64AD4DD3" w14:textId="77777777" w:rsidR="00A6499B" w:rsidRDefault="00A6499B" w:rsidP="00C11300">
      <w:pPr>
        <w:pStyle w:val="ac"/>
        <w:ind w:firstLine="708"/>
        <w:jc w:val="both"/>
        <w:rPr>
          <w:rFonts w:ascii="Times New Roman" w:hAnsi="Times New Roman" w:cs="Times New Roman"/>
          <w:b/>
          <w:bCs/>
          <w:sz w:val="28"/>
          <w:szCs w:val="28"/>
        </w:rPr>
      </w:pPr>
    </w:p>
    <w:p w14:paraId="69CC0F5E" w14:textId="77777777" w:rsidR="00DE42DE" w:rsidRDefault="00DE42DE" w:rsidP="00C11300">
      <w:pPr>
        <w:pStyle w:val="ac"/>
        <w:ind w:firstLine="708"/>
        <w:jc w:val="both"/>
        <w:rPr>
          <w:rFonts w:ascii="Times New Roman" w:hAnsi="Times New Roman" w:cs="Times New Roman"/>
          <w:b/>
          <w:bCs/>
          <w:sz w:val="28"/>
          <w:szCs w:val="28"/>
        </w:rPr>
      </w:pPr>
    </w:p>
    <w:p w14:paraId="324C67E9" w14:textId="0794382A" w:rsidR="00DE42DE" w:rsidRPr="000275DF" w:rsidRDefault="00DE42DE" w:rsidP="00DE42DE">
      <w:pPr>
        <w:pStyle w:val="ac"/>
        <w:jc w:val="both"/>
        <w:rPr>
          <w:rFonts w:ascii="Times New Roman" w:hAnsi="Times New Roman" w:cs="Times New Roman"/>
          <w:b/>
          <w:bCs/>
          <w:sz w:val="28"/>
          <w:szCs w:val="28"/>
        </w:rPr>
      </w:pPr>
      <w:r w:rsidRPr="00A723AB">
        <w:rPr>
          <w:rFonts w:ascii="Times New Roman" w:hAnsi="Times New Roman" w:cs="Times New Roman"/>
          <w:sz w:val="28"/>
          <w:szCs w:val="28"/>
        </w:rPr>
        <w:t xml:space="preserve">Галузь (сектор) для публічного інвестування – </w:t>
      </w:r>
      <w:r w:rsidRPr="000275DF">
        <w:rPr>
          <w:rFonts w:ascii="Times New Roman" w:hAnsi="Times New Roman" w:cs="Times New Roman"/>
          <w:b/>
          <w:bCs/>
          <w:sz w:val="28"/>
          <w:szCs w:val="28"/>
          <w:u w:val="single"/>
        </w:rPr>
        <w:t>освіта і наука</w:t>
      </w:r>
    </w:p>
    <w:p w14:paraId="383B34A8" w14:textId="727C1397" w:rsidR="00DE42DE" w:rsidRPr="00690508" w:rsidRDefault="00DE42DE" w:rsidP="00DE42DE">
      <w:pPr>
        <w:pStyle w:val="ac"/>
        <w:jc w:val="both"/>
        <w:rPr>
          <w:rFonts w:ascii="Times New Roman" w:hAnsi="Times New Roman" w:cs="Times New Roman"/>
          <w:sz w:val="28"/>
          <w:szCs w:val="28"/>
          <w:u w:val="single"/>
        </w:rPr>
      </w:pPr>
      <w:r w:rsidRPr="00A723AB">
        <w:rPr>
          <w:rFonts w:ascii="Times New Roman" w:hAnsi="Times New Roman" w:cs="Times New Roman"/>
          <w:sz w:val="28"/>
          <w:szCs w:val="28"/>
        </w:rPr>
        <w:t>Головний розпорядник коштів місцевого бюджету, відповідальний за галузь (сектор) для публічного інвестування</w:t>
      </w:r>
      <w:r>
        <w:rPr>
          <w:rFonts w:ascii="Times New Roman" w:hAnsi="Times New Roman" w:cs="Times New Roman"/>
          <w:sz w:val="28"/>
          <w:szCs w:val="28"/>
        </w:rPr>
        <w:t xml:space="preserve"> -</w:t>
      </w:r>
      <w:r w:rsidRPr="00690508">
        <w:rPr>
          <w:rFonts w:ascii="Times New Roman" w:hAnsi="Times New Roman" w:cs="Times New Roman"/>
          <w:sz w:val="28"/>
          <w:szCs w:val="28"/>
          <w:u w:val="single"/>
        </w:rPr>
        <w:t xml:space="preserve">Управління </w:t>
      </w:r>
      <w:r w:rsidR="007812E1" w:rsidRPr="00690508">
        <w:rPr>
          <w:rFonts w:ascii="Times New Roman" w:hAnsi="Times New Roman" w:cs="Times New Roman"/>
          <w:sz w:val="28"/>
          <w:szCs w:val="28"/>
          <w:u w:val="single"/>
        </w:rPr>
        <w:t>освіти та гуманітарної політики</w:t>
      </w:r>
      <w:r w:rsidRPr="00690508">
        <w:rPr>
          <w:rFonts w:ascii="Times New Roman" w:hAnsi="Times New Roman" w:cs="Times New Roman"/>
          <w:sz w:val="28"/>
          <w:szCs w:val="28"/>
          <w:u w:val="single"/>
        </w:rPr>
        <w:t xml:space="preserve"> Білозірської сільської ради.</w:t>
      </w:r>
    </w:p>
    <w:p w14:paraId="525FD0CB" w14:textId="5B43BBEF" w:rsidR="00DE42DE" w:rsidRDefault="00DE42DE" w:rsidP="00DE42DE">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7812E1">
        <w:rPr>
          <w:rFonts w:ascii="Times New Roman" w:hAnsi="Times New Roman" w:cs="Times New Roman"/>
          <w:sz w:val="28"/>
          <w:szCs w:val="28"/>
        </w:rPr>
        <w:t>6</w:t>
      </w:r>
      <w:r w:rsidR="00F920A0">
        <w:rPr>
          <w:rFonts w:ascii="Times New Roman" w:hAnsi="Times New Roman" w:cs="Times New Roman"/>
          <w:sz w:val="28"/>
          <w:szCs w:val="28"/>
        </w:rPr>
        <w:t>3</w:t>
      </w:r>
      <w:r>
        <w:rPr>
          <w:rFonts w:ascii="Times New Roman" w:hAnsi="Times New Roman" w:cs="Times New Roman"/>
          <w:sz w:val="28"/>
          <w:szCs w:val="28"/>
        </w:rPr>
        <w:t>00,0</w:t>
      </w:r>
      <w:r w:rsidRPr="00A723AB">
        <w:rPr>
          <w:rFonts w:ascii="Times New Roman" w:hAnsi="Times New Roman" w:cs="Times New Roman"/>
          <w:sz w:val="28"/>
          <w:szCs w:val="28"/>
        </w:rPr>
        <w:t xml:space="preserve"> тис.</w:t>
      </w:r>
      <w:r w:rsidR="00413BF9">
        <w:rPr>
          <w:rFonts w:ascii="Times New Roman" w:hAnsi="Times New Roman" w:cs="Times New Roman"/>
          <w:sz w:val="28"/>
          <w:szCs w:val="28"/>
        </w:rPr>
        <w:t xml:space="preserve"> </w:t>
      </w:r>
      <w:r w:rsidRPr="00A723AB">
        <w:rPr>
          <w:rFonts w:ascii="Times New Roman" w:hAnsi="Times New Roman" w:cs="Times New Roman"/>
          <w:sz w:val="28"/>
          <w:szCs w:val="28"/>
        </w:rPr>
        <w:t>грн.</w:t>
      </w:r>
    </w:p>
    <w:p w14:paraId="40DB6EEC" w14:textId="77777777" w:rsidR="007812E1" w:rsidRDefault="007812E1" w:rsidP="00DE42DE">
      <w:pPr>
        <w:pStyle w:val="ac"/>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2263"/>
        <w:gridCol w:w="3030"/>
        <w:gridCol w:w="2782"/>
        <w:gridCol w:w="1843"/>
        <w:gridCol w:w="1701"/>
        <w:gridCol w:w="1701"/>
        <w:gridCol w:w="1808"/>
      </w:tblGrid>
      <w:tr w:rsidR="007812E1" w:rsidRPr="007812E1" w14:paraId="7465C9CB" w14:textId="77777777" w:rsidTr="0097677C">
        <w:tc>
          <w:tcPr>
            <w:tcW w:w="2263" w:type="dxa"/>
          </w:tcPr>
          <w:p w14:paraId="3EC742BB" w14:textId="7BE35EC2" w:rsidR="007812E1" w:rsidRPr="007812E1" w:rsidRDefault="00690508" w:rsidP="007812E1">
            <w:pPr>
              <w:pStyle w:val="ac"/>
              <w:rPr>
                <w:rFonts w:ascii="Times New Roman" w:hAnsi="Times New Roman" w:cs="Times New Roman"/>
                <w:sz w:val="28"/>
                <w:szCs w:val="28"/>
              </w:rPr>
            </w:pPr>
            <w:proofErr w:type="spellStart"/>
            <w:r w:rsidRPr="00690508">
              <w:rPr>
                <w:rFonts w:ascii="Times New Roman" w:hAnsi="Times New Roman" w:cs="Times New Roman"/>
                <w:sz w:val="28"/>
                <w:szCs w:val="28"/>
              </w:rPr>
              <w:t>Підсектор</w:t>
            </w:r>
            <w:proofErr w:type="spellEnd"/>
            <w:r w:rsidRPr="00690508">
              <w:rPr>
                <w:rFonts w:ascii="Times New Roman" w:hAnsi="Times New Roman" w:cs="Times New Roman"/>
                <w:sz w:val="28"/>
                <w:szCs w:val="28"/>
              </w:rPr>
              <w:t xml:space="preserve"> галузі (сектору) для </w:t>
            </w:r>
            <w:r w:rsidRPr="00690508">
              <w:rPr>
                <w:rFonts w:ascii="Times New Roman" w:hAnsi="Times New Roman" w:cs="Times New Roman"/>
                <w:sz w:val="28"/>
                <w:szCs w:val="28"/>
              </w:rPr>
              <w:lastRenderedPageBreak/>
              <w:t>публічного інвестування</w:t>
            </w:r>
          </w:p>
        </w:tc>
        <w:tc>
          <w:tcPr>
            <w:tcW w:w="3030" w:type="dxa"/>
          </w:tcPr>
          <w:p w14:paraId="7D57C786" w14:textId="59377D9F"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lastRenderedPageBreak/>
              <w:t xml:space="preserve">Основний напрям публічного </w:t>
            </w:r>
            <w:r w:rsidRPr="00690508">
              <w:rPr>
                <w:rFonts w:ascii="Times New Roman" w:hAnsi="Times New Roman" w:cs="Times New Roman"/>
                <w:sz w:val="28"/>
                <w:szCs w:val="28"/>
              </w:rPr>
              <w:lastRenderedPageBreak/>
              <w:t>інвестування</w:t>
            </w:r>
          </w:p>
        </w:tc>
        <w:tc>
          <w:tcPr>
            <w:tcW w:w="2782" w:type="dxa"/>
          </w:tcPr>
          <w:p w14:paraId="2B8E620E" w14:textId="162A7B45"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lastRenderedPageBreak/>
              <w:t>Найменування цільового показника</w:t>
            </w:r>
          </w:p>
        </w:tc>
        <w:tc>
          <w:tcPr>
            <w:tcW w:w="1843" w:type="dxa"/>
          </w:tcPr>
          <w:p w14:paraId="10548F07" w14:textId="7E72E7A3"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t>Базове значення (%)</w:t>
            </w:r>
          </w:p>
        </w:tc>
        <w:tc>
          <w:tcPr>
            <w:tcW w:w="1701" w:type="dxa"/>
          </w:tcPr>
          <w:p w14:paraId="16FFAE27" w14:textId="4E368A6B"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t xml:space="preserve">Планове значення на </w:t>
            </w:r>
            <w:r w:rsidRPr="00690508">
              <w:rPr>
                <w:rFonts w:ascii="Times New Roman" w:hAnsi="Times New Roman" w:cs="Times New Roman"/>
                <w:sz w:val="28"/>
                <w:szCs w:val="28"/>
              </w:rPr>
              <w:lastRenderedPageBreak/>
              <w:t>2027 р. (%</w:t>
            </w:r>
          </w:p>
        </w:tc>
        <w:tc>
          <w:tcPr>
            <w:tcW w:w="1701" w:type="dxa"/>
          </w:tcPr>
          <w:p w14:paraId="559CE9E8" w14:textId="22063083"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lastRenderedPageBreak/>
              <w:t xml:space="preserve">Планове значення на </w:t>
            </w:r>
            <w:r w:rsidRPr="00690508">
              <w:rPr>
                <w:rFonts w:ascii="Times New Roman" w:hAnsi="Times New Roman" w:cs="Times New Roman"/>
                <w:sz w:val="28"/>
                <w:szCs w:val="28"/>
              </w:rPr>
              <w:lastRenderedPageBreak/>
              <w:t>202</w:t>
            </w:r>
            <w:r w:rsidR="000275DF">
              <w:rPr>
                <w:rFonts w:ascii="Times New Roman" w:hAnsi="Times New Roman" w:cs="Times New Roman"/>
                <w:sz w:val="28"/>
                <w:szCs w:val="28"/>
              </w:rPr>
              <w:t>8</w:t>
            </w:r>
            <w:r w:rsidRPr="00690508">
              <w:rPr>
                <w:rFonts w:ascii="Times New Roman" w:hAnsi="Times New Roman" w:cs="Times New Roman"/>
                <w:sz w:val="28"/>
                <w:szCs w:val="28"/>
              </w:rPr>
              <w:t xml:space="preserve"> р. (%</w:t>
            </w:r>
          </w:p>
        </w:tc>
        <w:tc>
          <w:tcPr>
            <w:tcW w:w="1808" w:type="dxa"/>
          </w:tcPr>
          <w:p w14:paraId="7FC64584" w14:textId="5B8F8526" w:rsidR="007812E1" w:rsidRPr="007812E1" w:rsidRDefault="00690508" w:rsidP="007812E1">
            <w:pPr>
              <w:pStyle w:val="ac"/>
              <w:rPr>
                <w:rFonts w:ascii="Times New Roman" w:hAnsi="Times New Roman" w:cs="Times New Roman"/>
                <w:sz w:val="28"/>
                <w:szCs w:val="28"/>
              </w:rPr>
            </w:pPr>
            <w:r w:rsidRPr="00690508">
              <w:rPr>
                <w:rFonts w:ascii="Times New Roman" w:hAnsi="Times New Roman" w:cs="Times New Roman"/>
                <w:sz w:val="28"/>
                <w:szCs w:val="28"/>
              </w:rPr>
              <w:lastRenderedPageBreak/>
              <w:t xml:space="preserve">Планове значення на </w:t>
            </w:r>
            <w:r w:rsidRPr="00690508">
              <w:rPr>
                <w:rFonts w:ascii="Times New Roman" w:hAnsi="Times New Roman" w:cs="Times New Roman"/>
                <w:sz w:val="28"/>
                <w:szCs w:val="28"/>
              </w:rPr>
              <w:lastRenderedPageBreak/>
              <w:t>202</w:t>
            </w:r>
            <w:r w:rsidR="000275DF">
              <w:rPr>
                <w:rFonts w:ascii="Times New Roman" w:hAnsi="Times New Roman" w:cs="Times New Roman"/>
                <w:sz w:val="28"/>
                <w:szCs w:val="28"/>
              </w:rPr>
              <w:t>9</w:t>
            </w:r>
            <w:r w:rsidRPr="00690508">
              <w:rPr>
                <w:rFonts w:ascii="Times New Roman" w:hAnsi="Times New Roman" w:cs="Times New Roman"/>
                <w:sz w:val="28"/>
                <w:szCs w:val="28"/>
              </w:rPr>
              <w:t xml:space="preserve"> р. (%</w:t>
            </w:r>
          </w:p>
        </w:tc>
      </w:tr>
      <w:tr w:rsidR="0021188A" w:rsidRPr="007812E1" w14:paraId="58C0F28E" w14:textId="77777777" w:rsidTr="0021188A">
        <w:trPr>
          <w:trHeight w:val="803"/>
        </w:trPr>
        <w:tc>
          <w:tcPr>
            <w:tcW w:w="2263" w:type="dxa"/>
            <w:vMerge w:val="restart"/>
          </w:tcPr>
          <w:p w14:paraId="20C5F76A" w14:textId="0FDD6DF5" w:rsidR="0021188A" w:rsidRPr="007812E1" w:rsidRDefault="0021188A" w:rsidP="007812E1">
            <w:pPr>
              <w:pStyle w:val="ac"/>
              <w:rPr>
                <w:rFonts w:ascii="Times New Roman" w:hAnsi="Times New Roman" w:cs="Times New Roman"/>
                <w:sz w:val="28"/>
                <w:szCs w:val="28"/>
              </w:rPr>
            </w:pPr>
            <w:r>
              <w:rPr>
                <w:rFonts w:ascii="Times New Roman" w:hAnsi="Times New Roman" w:cs="Times New Roman"/>
                <w:sz w:val="28"/>
                <w:szCs w:val="28"/>
              </w:rPr>
              <w:lastRenderedPageBreak/>
              <w:t>Освіта</w:t>
            </w:r>
          </w:p>
        </w:tc>
        <w:tc>
          <w:tcPr>
            <w:tcW w:w="3030" w:type="dxa"/>
            <w:vMerge w:val="restart"/>
          </w:tcPr>
          <w:p w14:paraId="65B151CE" w14:textId="6DCF117F" w:rsidR="0021188A" w:rsidRPr="007812E1" w:rsidRDefault="0021188A" w:rsidP="0097677C">
            <w:pPr>
              <w:pStyle w:val="ac"/>
              <w:jc w:val="both"/>
              <w:rPr>
                <w:rFonts w:ascii="Times New Roman" w:hAnsi="Times New Roman" w:cs="Times New Roman"/>
                <w:sz w:val="28"/>
                <w:szCs w:val="28"/>
              </w:rPr>
            </w:pPr>
            <w:r w:rsidRPr="0097677C">
              <w:rPr>
                <w:rFonts w:ascii="Times New Roman" w:hAnsi="Times New Roman" w:cs="Times New Roman"/>
                <w:sz w:val="28"/>
                <w:szCs w:val="28"/>
              </w:rPr>
              <w:t>Сучасний освітній простір та якісний зміст: лабораторії, майстерні, кабінети тощо</w:t>
            </w:r>
          </w:p>
        </w:tc>
        <w:tc>
          <w:tcPr>
            <w:tcW w:w="2782" w:type="dxa"/>
          </w:tcPr>
          <w:p w14:paraId="5E9C43CB" w14:textId="1DBB4C5D" w:rsidR="0021188A" w:rsidRPr="0097677C" w:rsidRDefault="0021188A" w:rsidP="007812E1">
            <w:pPr>
              <w:pStyle w:val="ac"/>
              <w:rPr>
                <w:rFonts w:ascii="Times New Roman" w:hAnsi="Times New Roman" w:cs="Times New Roman"/>
                <w:sz w:val="28"/>
                <w:szCs w:val="28"/>
              </w:rPr>
            </w:pPr>
            <w:r w:rsidRPr="00986F67">
              <w:rPr>
                <w:rFonts w:ascii="Times New Roman" w:hAnsi="Times New Roman" w:cs="Times New Roman"/>
                <w:sz w:val="28"/>
                <w:szCs w:val="28"/>
              </w:rPr>
              <w:t>Рівень розвитку  сучасного освітнього середовища закладів загальної середньої освіти</w:t>
            </w:r>
          </w:p>
        </w:tc>
        <w:tc>
          <w:tcPr>
            <w:tcW w:w="1843" w:type="dxa"/>
          </w:tcPr>
          <w:p w14:paraId="2BE1BB88" w14:textId="2E5A9A21" w:rsidR="0021188A" w:rsidRPr="007812E1" w:rsidRDefault="0021188A" w:rsidP="007812E1">
            <w:pPr>
              <w:pStyle w:val="ac"/>
              <w:rPr>
                <w:rFonts w:ascii="Times New Roman" w:hAnsi="Times New Roman" w:cs="Times New Roman"/>
                <w:sz w:val="28"/>
                <w:szCs w:val="28"/>
              </w:rPr>
            </w:pPr>
            <w:r>
              <w:rPr>
                <w:rFonts w:ascii="Times New Roman" w:hAnsi="Times New Roman" w:cs="Times New Roman"/>
                <w:sz w:val="28"/>
                <w:szCs w:val="28"/>
              </w:rPr>
              <w:t>20</w:t>
            </w:r>
          </w:p>
        </w:tc>
        <w:tc>
          <w:tcPr>
            <w:tcW w:w="1701" w:type="dxa"/>
          </w:tcPr>
          <w:p w14:paraId="0DE422C1" w14:textId="3F10F3EF" w:rsidR="0021188A" w:rsidRPr="007812E1" w:rsidRDefault="0021188A" w:rsidP="007812E1">
            <w:pPr>
              <w:pStyle w:val="ac"/>
              <w:rPr>
                <w:rFonts w:ascii="Times New Roman" w:hAnsi="Times New Roman" w:cs="Times New Roman"/>
                <w:sz w:val="28"/>
                <w:szCs w:val="28"/>
              </w:rPr>
            </w:pPr>
            <w:r>
              <w:rPr>
                <w:rFonts w:ascii="Times New Roman" w:hAnsi="Times New Roman" w:cs="Times New Roman"/>
                <w:sz w:val="28"/>
                <w:szCs w:val="28"/>
              </w:rPr>
              <w:t>60</w:t>
            </w:r>
          </w:p>
        </w:tc>
        <w:tc>
          <w:tcPr>
            <w:tcW w:w="1701" w:type="dxa"/>
          </w:tcPr>
          <w:p w14:paraId="0416117F" w14:textId="5082B3B3" w:rsidR="0021188A" w:rsidRPr="007812E1" w:rsidRDefault="0021188A" w:rsidP="007812E1">
            <w:pPr>
              <w:pStyle w:val="ac"/>
              <w:rPr>
                <w:rFonts w:ascii="Times New Roman" w:hAnsi="Times New Roman" w:cs="Times New Roman"/>
                <w:sz w:val="28"/>
                <w:szCs w:val="28"/>
              </w:rPr>
            </w:pPr>
            <w:r>
              <w:rPr>
                <w:rFonts w:ascii="Times New Roman" w:hAnsi="Times New Roman" w:cs="Times New Roman"/>
                <w:sz w:val="28"/>
                <w:szCs w:val="28"/>
              </w:rPr>
              <w:t>80</w:t>
            </w:r>
          </w:p>
        </w:tc>
        <w:tc>
          <w:tcPr>
            <w:tcW w:w="1808" w:type="dxa"/>
          </w:tcPr>
          <w:p w14:paraId="5DA9DE45" w14:textId="1103109E" w:rsidR="0021188A" w:rsidRPr="007812E1" w:rsidRDefault="0021188A" w:rsidP="007812E1">
            <w:pPr>
              <w:pStyle w:val="ac"/>
              <w:rPr>
                <w:rFonts w:ascii="Times New Roman" w:hAnsi="Times New Roman" w:cs="Times New Roman"/>
                <w:sz w:val="28"/>
                <w:szCs w:val="28"/>
              </w:rPr>
            </w:pPr>
            <w:r>
              <w:rPr>
                <w:rFonts w:ascii="Times New Roman" w:hAnsi="Times New Roman" w:cs="Times New Roman"/>
                <w:sz w:val="28"/>
                <w:szCs w:val="28"/>
              </w:rPr>
              <w:t>100</w:t>
            </w:r>
          </w:p>
        </w:tc>
      </w:tr>
      <w:tr w:rsidR="0021188A" w:rsidRPr="007812E1" w14:paraId="071C518F" w14:textId="77777777" w:rsidTr="0021188A">
        <w:trPr>
          <w:trHeight w:val="802"/>
        </w:trPr>
        <w:tc>
          <w:tcPr>
            <w:tcW w:w="2263" w:type="dxa"/>
            <w:vMerge/>
          </w:tcPr>
          <w:p w14:paraId="77C63778" w14:textId="77777777" w:rsidR="0021188A" w:rsidRDefault="0021188A" w:rsidP="007812E1">
            <w:pPr>
              <w:pStyle w:val="ac"/>
              <w:rPr>
                <w:rFonts w:ascii="Times New Roman" w:hAnsi="Times New Roman" w:cs="Times New Roman"/>
                <w:sz w:val="28"/>
                <w:szCs w:val="28"/>
              </w:rPr>
            </w:pPr>
          </w:p>
        </w:tc>
        <w:tc>
          <w:tcPr>
            <w:tcW w:w="3030" w:type="dxa"/>
            <w:vMerge/>
          </w:tcPr>
          <w:p w14:paraId="0A4AFE11" w14:textId="77777777" w:rsidR="0021188A" w:rsidRPr="0097677C" w:rsidRDefault="0021188A" w:rsidP="0097677C">
            <w:pPr>
              <w:pStyle w:val="ac"/>
              <w:jc w:val="both"/>
              <w:rPr>
                <w:rFonts w:ascii="Times New Roman" w:hAnsi="Times New Roman" w:cs="Times New Roman"/>
                <w:sz w:val="28"/>
                <w:szCs w:val="28"/>
              </w:rPr>
            </w:pPr>
          </w:p>
        </w:tc>
        <w:tc>
          <w:tcPr>
            <w:tcW w:w="2782" w:type="dxa"/>
          </w:tcPr>
          <w:p w14:paraId="7A01953C" w14:textId="28865D8E" w:rsidR="0021188A" w:rsidRPr="00986F67" w:rsidRDefault="00134151" w:rsidP="007812E1">
            <w:pPr>
              <w:pStyle w:val="ac"/>
              <w:rPr>
                <w:rFonts w:ascii="Times New Roman" w:hAnsi="Times New Roman" w:cs="Times New Roman"/>
                <w:sz w:val="28"/>
                <w:szCs w:val="28"/>
              </w:rPr>
            </w:pPr>
            <w:r w:rsidRPr="00134151">
              <w:rPr>
                <w:rFonts w:ascii="Times New Roman" w:hAnsi="Times New Roman" w:cs="Times New Roman"/>
                <w:sz w:val="28"/>
                <w:szCs w:val="28"/>
              </w:rPr>
              <w:t>Рівень приведення закладів дошкільної освіти у відповідність до державних стандартів</w:t>
            </w:r>
          </w:p>
        </w:tc>
        <w:tc>
          <w:tcPr>
            <w:tcW w:w="1843" w:type="dxa"/>
          </w:tcPr>
          <w:p w14:paraId="29C70E71" w14:textId="0214B030" w:rsidR="0021188A" w:rsidRDefault="00134151" w:rsidP="007812E1">
            <w:pPr>
              <w:pStyle w:val="ac"/>
              <w:rPr>
                <w:rFonts w:ascii="Times New Roman" w:hAnsi="Times New Roman" w:cs="Times New Roman"/>
                <w:sz w:val="28"/>
                <w:szCs w:val="28"/>
              </w:rPr>
            </w:pPr>
            <w:r>
              <w:rPr>
                <w:rFonts w:ascii="Times New Roman" w:hAnsi="Times New Roman" w:cs="Times New Roman"/>
                <w:sz w:val="28"/>
                <w:szCs w:val="28"/>
              </w:rPr>
              <w:t>0</w:t>
            </w:r>
          </w:p>
        </w:tc>
        <w:tc>
          <w:tcPr>
            <w:tcW w:w="1701" w:type="dxa"/>
          </w:tcPr>
          <w:p w14:paraId="5481D167" w14:textId="1FB76C6E" w:rsidR="0021188A" w:rsidRDefault="00134151" w:rsidP="007812E1">
            <w:pPr>
              <w:pStyle w:val="ac"/>
              <w:rPr>
                <w:rFonts w:ascii="Times New Roman" w:hAnsi="Times New Roman" w:cs="Times New Roman"/>
                <w:sz w:val="28"/>
                <w:szCs w:val="28"/>
              </w:rPr>
            </w:pPr>
            <w:r>
              <w:rPr>
                <w:rFonts w:ascii="Times New Roman" w:hAnsi="Times New Roman" w:cs="Times New Roman"/>
                <w:sz w:val="28"/>
                <w:szCs w:val="28"/>
              </w:rPr>
              <w:t>30</w:t>
            </w:r>
          </w:p>
        </w:tc>
        <w:tc>
          <w:tcPr>
            <w:tcW w:w="1701" w:type="dxa"/>
          </w:tcPr>
          <w:p w14:paraId="134B39C8" w14:textId="33EF45A1" w:rsidR="0021188A" w:rsidRDefault="00134151" w:rsidP="007812E1">
            <w:pPr>
              <w:pStyle w:val="ac"/>
              <w:rPr>
                <w:rFonts w:ascii="Times New Roman" w:hAnsi="Times New Roman" w:cs="Times New Roman"/>
                <w:sz w:val="28"/>
                <w:szCs w:val="28"/>
              </w:rPr>
            </w:pPr>
            <w:r>
              <w:rPr>
                <w:rFonts w:ascii="Times New Roman" w:hAnsi="Times New Roman" w:cs="Times New Roman"/>
                <w:sz w:val="28"/>
                <w:szCs w:val="28"/>
              </w:rPr>
              <w:t>60</w:t>
            </w:r>
          </w:p>
        </w:tc>
        <w:tc>
          <w:tcPr>
            <w:tcW w:w="1808" w:type="dxa"/>
          </w:tcPr>
          <w:p w14:paraId="47F46D92" w14:textId="7AAD98BB" w:rsidR="0021188A" w:rsidRDefault="00134151" w:rsidP="007812E1">
            <w:pPr>
              <w:pStyle w:val="ac"/>
              <w:rPr>
                <w:rFonts w:ascii="Times New Roman" w:hAnsi="Times New Roman" w:cs="Times New Roman"/>
                <w:sz w:val="28"/>
                <w:szCs w:val="28"/>
              </w:rPr>
            </w:pPr>
            <w:r>
              <w:rPr>
                <w:rFonts w:ascii="Times New Roman" w:hAnsi="Times New Roman" w:cs="Times New Roman"/>
                <w:sz w:val="28"/>
                <w:szCs w:val="28"/>
              </w:rPr>
              <w:t>100</w:t>
            </w:r>
          </w:p>
        </w:tc>
      </w:tr>
      <w:tr w:rsidR="007812E1" w:rsidRPr="007812E1" w14:paraId="3F706EEF" w14:textId="77777777" w:rsidTr="0097677C">
        <w:tc>
          <w:tcPr>
            <w:tcW w:w="2263" w:type="dxa"/>
          </w:tcPr>
          <w:p w14:paraId="7FFB5FDC" w14:textId="7251551E" w:rsidR="007812E1" w:rsidRPr="007812E1" w:rsidRDefault="0097677C" w:rsidP="007812E1">
            <w:pPr>
              <w:pStyle w:val="ac"/>
              <w:rPr>
                <w:rFonts w:ascii="Times New Roman" w:hAnsi="Times New Roman" w:cs="Times New Roman"/>
                <w:sz w:val="28"/>
                <w:szCs w:val="28"/>
              </w:rPr>
            </w:pPr>
            <w:r w:rsidRPr="0097677C">
              <w:rPr>
                <w:rFonts w:ascii="Times New Roman" w:hAnsi="Times New Roman" w:cs="Times New Roman"/>
                <w:sz w:val="28"/>
                <w:szCs w:val="28"/>
              </w:rPr>
              <w:t>Освіта</w:t>
            </w:r>
          </w:p>
        </w:tc>
        <w:tc>
          <w:tcPr>
            <w:tcW w:w="3030" w:type="dxa"/>
          </w:tcPr>
          <w:p w14:paraId="69998982" w14:textId="61BF6865" w:rsidR="007812E1" w:rsidRPr="007812E1" w:rsidRDefault="0097677C" w:rsidP="0097677C">
            <w:pPr>
              <w:pStyle w:val="ac"/>
              <w:jc w:val="both"/>
              <w:rPr>
                <w:rFonts w:ascii="Times New Roman" w:hAnsi="Times New Roman" w:cs="Times New Roman"/>
                <w:sz w:val="28"/>
                <w:szCs w:val="28"/>
              </w:rPr>
            </w:pPr>
            <w:proofErr w:type="spellStart"/>
            <w:r w:rsidRPr="0097677C">
              <w:rPr>
                <w:rFonts w:ascii="Times New Roman" w:hAnsi="Times New Roman" w:cs="Times New Roman"/>
                <w:sz w:val="28"/>
                <w:szCs w:val="28"/>
                <w:lang w:val="ru-RU"/>
              </w:rPr>
              <w:t>Створення</w:t>
            </w:r>
            <w:proofErr w:type="spellEnd"/>
            <w:r w:rsidRPr="0097677C">
              <w:rPr>
                <w:rFonts w:ascii="Times New Roman" w:hAnsi="Times New Roman" w:cs="Times New Roman"/>
                <w:sz w:val="28"/>
                <w:szCs w:val="28"/>
                <w:lang w:val="ru-RU"/>
              </w:rPr>
              <w:t xml:space="preserve"> умов для </w:t>
            </w:r>
            <w:proofErr w:type="spellStart"/>
            <w:r w:rsidRPr="0097677C">
              <w:rPr>
                <w:rFonts w:ascii="Times New Roman" w:hAnsi="Times New Roman" w:cs="Times New Roman"/>
                <w:sz w:val="28"/>
                <w:szCs w:val="28"/>
                <w:lang w:val="ru-RU"/>
              </w:rPr>
              <w:t>рівного</w:t>
            </w:r>
            <w:proofErr w:type="spellEnd"/>
            <w:r w:rsidRPr="0097677C">
              <w:rPr>
                <w:rFonts w:ascii="Times New Roman" w:hAnsi="Times New Roman" w:cs="Times New Roman"/>
                <w:sz w:val="28"/>
                <w:szCs w:val="28"/>
                <w:lang w:val="ru-RU"/>
              </w:rPr>
              <w:t xml:space="preserve"> доступу до </w:t>
            </w:r>
            <w:proofErr w:type="spellStart"/>
            <w:r w:rsidRPr="0097677C">
              <w:rPr>
                <w:rFonts w:ascii="Times New Roman" w:hAnsi="Times New Roman" w:cs="Times New Roman"/>
                <w:sz w:val="28"/>
                <w:szCs w:val="28"/>
                <w:lang w:val="ru-RU"/>
              </w:rPr>
              <w:t>освіти</w:t>
            </w:r>
            <w:proofErr w:type="spellEnd"/>
            <w:r w:rsidRPr="0097677C">
              <w:rPr>
                <w:rFonts w:ascii="Times New Roman" w:hAnsi="Times New Roman" w:cs="Times New Roman"/>
                <w:sz w:val="28"/>
                <w:szCs w:val="28"/>
                <w:lang w:val="ru-RU"/>
              </w:rPr>
              <w:t xml:space="preserve"> шляхом </w:t>
            </w:r>
            <w:proofErr w:type="spellStart"/>
            <w:r w:rsidRPr="0097677C">
              <w:rPr>
                <w:rFonts w:ascii="Times New Roman" w:hAnsi="Times New Roman" w:cs="Times New Roman"/>
                <w:sz w:val="28"/>
                <w:szCs w:val="28"/>
                <w:lang w:val="ru-RU"/>
              </w:rPr>
              <w:t>розвитку</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інфраструктури</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перевезення</w:t>
            </w:r>
            <w:proofErr w:type="spellEnd"/>
          </w:p>
        </w:tc>
        <w:tc>
          <w:tcPr>
            <w:tcW w:w="2782" w:type="dxa"/>
          </w:tcPr>
          <w:p w14:paraId="423D338B" w14:textId="3271311B" w:rsidR="007812E1" w:rsidRPr="0097677C" w:rsidRDefault="00986F67" w:rsidP="007812E1">
            <w:pPr>
              <w:pStyle w:val="ac"/>
              <w:rPr>
                <w:rFonts w:ascii="Times New Roman" w:hAnsi="Times New Roman" w:cs="Times New Roman"/>
                <w:sz w:val="28"/>
                <w:szCs w:val="28"/>
              </w:rPr>
            </w:pPr>
            <w:r w:rsidRPr="00986F67">
              <w:rPr>
                <w:rFonts w:ascii="Times New Roman" w:hAnsi="Times New Roman" w:cs="Times New Roman"/>
                <w:sz w:val="28"/>
                <w:szCs w:val="28"/>
              </w:rPr>
              <w:t>Частка забезпечених підвезенням учнів серед тих, хто його потребує</w:t>
            </w:r>
          </w:p>
        </w:tc>
        <w:tc>
          <w:tcPr>
            <w:tcW w:w="1843" w:type="dxa"/>
          </w:tcPr>
          <w:p w14:paraId="40EF23E1" w14:textId="011F78D4" w:rsidR="007812E1"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82</w:t>
            </w:r>
          </w:p>
        </w:tc>
        <w:tc>
          <w:tcPr>
            <w:tcW w:w="1701" w:type="dxa"/>
          </w:tcPr>
          <w:p w14:paraId="3140340C" w14:textId="190E2DD9" w:rsidR="007812E1" w:rsidRPr="007812E1" w:rsidRDefault="0097677C" w:rsidP="007812E1">
            <w:pPr>
              <w:pStyle w:val="ac"/>
              <w:rPr>
                <w:rFonts w:ascii="Times New Roman" w:hAnsi="Times New Roman" w:cs="Times New Roman"/>
                <w:sz w:val="28"/>
                <w:szCs w:val="28"/>
              </w:rPr>
            </w:pPr>
            <w:r>
              <w:rPr>
                <w:rFonts w:ascii="Times New Roman" w:hAnsi="Times New Roman" w:cs="Times New Roman"/>
                <w:sz w:val="28"/>
                <w:szCs w:val="28"/>
              </w:rPr>
              <w:t>100</w:t>
            </w:r>
          </w:p>
        </w:tc>
        <w:tc>
          <w:tcPr>
            <w:tcW w:w="1701" w:type="dxa"/>
          </w:tcPr>
          <w:p w14:paraId="07198AE0" w14:textId="1A56E515" w:rsidR="007812E1" w:rsidRPr="007812E1" w:rsidRDefault="0097677C" w:rsidP="007812E1">
            <w:pPr>
              <w:pStyle w:val="ac"/>
              <w:rPr>
                <w:rFonts w:ascii="Times New Roman" w:hAnsi="Times New Roman" w:cs="Times New Roman"/>
                <w:sz w:val="28"/>
                <w:szCs w:val="28"/>
              </w:rPr>
            </w:pPr>
            <w:r>
              <w:rPr>
                <w:rFonts w:ascii="Times New Roman" w:hAnsi="Times New Roman" w:cs="Times New Roman"/>
                <w:sz w:val="28"/>
                <w:szCs w:val="28"/>
              </w:rPr>
              <w:t>100</w:t>
            </w:r>
          </w:p>
        </w:tc>
        <w:tc>
          <w:tcPr>
            <w:tcW w:w="1808" w:type="dxa"/>
          </w:tcPr>
          <w:p w14:paraId="79F17708" w14:textId="64689E43" w:rsidR="007812E1" w:rsidRPr="007812E1" w:rsidRDefault="0097677C" w:rsidP="007812E1">
            <w:pPr>
              <w:pStyle w:val="ac"/>
              <w:rPr>
                <w:rFonts w:ascii="Times New Roman" w:hAnsi="Times New Roman" w:cs="Times New Roman"/>
                <w:sz w:val="28"/>
                <w:szCs w:val="28"/>
              </w:rPr>
            </w:pPr>
            <w:r>
              <w:rPr>
                <w:rFonts w:ascii="Times New Roman" w:hAnsi="Times New Roman" w:cs="Times New Roman"/>
                <w:sz w:val="28"/>
                <w:szCs w:val="28"/>
              </w:rPr>
              <w:t>100</w:t>
            </w:r>
          </w:p>
        </w:tc>
      </w:tr>
      <w:tr w:rsidR="00782D85" w:rsidRPr="007812E1" w14:paraId="110BADAE" w14:textId="77777777" w:rsidTr="00782D85">
        <w:trPr>
          <w:trHeight w:val="645"/>
        </w:trPr>
        <w:tc>
          <w:tcPr>
            <w:tcW w:w="2263" w:type="dxa"/>
          </w:tcPr>
          <w:p w14:paraId="4C13E769" w14:textId="4050294C" w:rsidR="00782D85" w:rsidRPr="007812E1" w:rsidRDefault="00782D85" w:rsidP="007812E1">
            <w:pPr>
              <w:pStyle w:val="ac"/>
              <w:rPr>
                <w:rFonts w:ascii="Times New Roman" w:hAnsi="Times New Roman" w:cs="Times New Roman"/>
                <w:sz w:val="28"/>
                <w:szCs w:val="28"/>
              </w:rPr>
            </w:pPr>
            <w:r w:rsidRPr="0097677C">
              <w:rPr>
                <w:rFonts w:ascii="Times New Roman" w:hAnsi="Times New Roman" w:cs="Times New Roman"/>
                <w:sz w:val="28"/>
                <w:szCs w:val="28"/>
              </w:rPr>
              <w:t>Освіта</w:t>
            </w:r>
          </w:p>
        </w:tc>
        <w:tc>
          <w:tcPr>
            <w:tcW w:w="3030" w:type="dxa"/>
          </w:tcPr>
          <w:p w14:paraId="32A18734" w14:textId="6FF4ECC2" w:rsidR="00782D85" w:rsidRPr="007812E1" w:rsidRDefault="00782D85" w:rsidP="0097677C">
            <w:pPr>
              <w:pStyle w:val="ac"/>
              <w:jc w:val="both"/>
              <w:rPr>
                <w:rFonts w:ascii="Times New Roman" w:hAnsi="Times New Roman" w:cs="Times New Roman"/>
                <w:sz w:val="28"/>
                <w:szCs w:val="28"/>
              </w:rPr>
            </w:pPr>
            <w:r w:rsidRPr="0097677C">
              <w:rPr>
                <w:rFonts w:ascii="Times New Roman" w:hAnsi="Times New Roman" w:cs="Times New Roman"/>
                <w:sz w:val="28"/>
                <w:szCs w:val="28"/>
              </w:rPr>
              <w:t>Енергоефективність та енергонезалежність будівель  закладів та установ освіти</w:t>
            </w:r>
          </w:p>
        </w:tc>
        <w:tc>
          <w:tcPr>
            <w:tcW w:w="2782" w:type="dxa"/>
          </w:tcPr>
          <w:p w14:paraId="79CCAA7B" w14:textId="7757A801" w:rsidR="00782D85" w:rsidRPr="00782D85" w:rsidRDefault="00986F67" w:rsidP="007812E1">
            <w:pPr>
              <w:pStyle w:val="ac"/>
              <w:rPr>
                <w:rFonts w:ascii="Times New Roman" w:hAnsi="Times New Roman" w:cs="Times New Roman"/>
                <w:sz w:val="28"/>
                <w:szCs w:val="28"/>
              </w:rPr>
            </w:pPr>
            <w:r w:rsidRPr="00986F67">
              <w:rPr>
                <w:rFonts w:ascii="Times New Roman" w:hAnsi="Times New Roman" w:cs="Times New Roman"/>
                <w:sz w:val="28"/>
                <w:szCs w:val="28"/>
              </w:rPr>
              <w:t>Рівень зниження витрат на опалення та/або електроенергію після впровадження заходів з підвищення енергоефективності</w:t>
            </w:r>
          </w:p>
        </w:tc>
        <w:tc>
          <w:tcPr>
            <w:tcW w:w="1843" w:type="dxa"/>
          </w:tcPr>
          <w:p w14:paraId="3BB533A9" w14:textId="58519C49" w:rsidR="00782D85"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100</w:t>
            </w:r>
          </w:p>
        </w:tc>
        <w:tc>
          <w:tcPr>
            <w:tcW w:w="1701" w:type="dxa"/>
          </w:tcPr>
          <w:p w14:paraId="318BA15A" w14:textId="2390AF44" w:rsidR="00782D85"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95</w:t>
            </w:r>
          </w:p>
        </w:tc>
        <w:tc>
          <w:tcPr>
            <w:tcW w:w="1701" w:type="dxa"/>
          </w:tcPr>
          <w:p w14:paraId="54B9D40F" w14:textId="7B56939F" w:rsidR="00782D85"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90</w:t>
            </w:r>
          </w:p>
        </w:tc>
        <w:tc>
          <w:tcPr>
            <w:tcW w:w="1808" w:type="dxa"/>
          </w:tcPr>
          <w:p w14:paraId="78091F88" w14:textId="1B09E907" w:rsidR="00782D85"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85</w:t>
            </w:r>
          </w:p>
        </w:tc>
      </w:tr>
      <w:tr w:rsidR="00690508" w:rsidRPr="007812E1" w14:paraId="3793D914" w14:textId="77777777" w:rsidTr="0097677C">
        <w:tc>
          <w:tcPr>
            <w:tcW w:w="2263" w:type="dxa"/>
          </w:tcPr>
          <w:p w14:paraId="1B658813" w14:textId="2FF94476" w:rsidR="00690508" w:rsidRPr="007812E1" w:rsidRDefault="0097677C" w:rsidP="007812E1">
            <w:pPr>
              <w:pStyle w:val="ac"/>
              <w:rPr>
                <w:rFonts w:ascii="Times New Roman" w:hAnsi="Times New Roman" w:cs="Times New Roman"/>
                <w:sz w:val="28"/>
                <w:szCs w:val="28"/>
              </w:rPr>
            </w:pPr>
            <w:r w:rsidRPr="0097677C">
              <w:rPr>
                <w:rFonts w:ascii="Times New Roman" w:hAnsi="Times New Roman" w:cs="Times New Roman"/>
                <w:sz w:val="28"/>
                <w:szCs w:val="28"/>
              </w:rPr>
              <w:t>Освіта</w:t>
            </w:r>
          </w:p>
        </w:tc>
        <w:tc>
          <w:tcPr>
            <w:tcW w:w="3030" w:type="dxa"/>
          </w:tcPr>
          <w:p w14:paraId="2121FA60" w14:textId="3F3EF911" w:rsidR="00690508" w:rsidRPr="007812E1" w:rsidRDefault="0097677C" w:rsidP="007812E1">
            <w:pPr>
              <w:pStyle w:val="ac"/>
              <w:rPr>
                <w:rFonts w:ascii="Times New Roman" w:hAnsi="Times New Roman" w:cs="Times New Roman"/>
                <w:sz w:val="28"/>
                <w:szCs w:val="28"/>
              </w:rPr>
            </w:pPr>
            <w:r w:rsidRPr="0097677C">
              <w:rPr>
                <w:rFonts w:ascii="Times New Roman" w:hAnsi="Times New Roman" w:cs="Times New Roman"/>
                <w:sz w:val="28"/>
                <w:szCs w:val="28"/>
              </w:rPr>
              <w:t xml:space="preserve">Підвищення рівня протипожежної безпеки в закладах та </w:t>
            </w:r>
            <w:r w:rsidRPr="0097677C">
              <w:rPr>
                <w:rFonts w:ascii="Times New Roman" w:hAnsi="Times New Roman" w:cs="Times New Roman"/>
                <w:sz w:val="28"/>
                <w:szCs w:val="28"/>
              </w:rPr>
              <w:lastRenderedPageBreak/>
              <w:t>установах освіти</w:t>
            </w:r>
          </w:p>
        </w:tc>
        <w:tc>
          <w:tcPr>
            <w:tcW w:w="2782" w:type="dxa"/>
          </w:tcPr>
          <w:p w14:paraId="2F8EF491" w14:textId="6A4C8A56" w:rsidR="00690508" w:rsidRPr="007812E1" w:rsidRDefault="0044377F" w:rsidP="007812E1">
            <w:pPr>
              <w:pStyle w:val="ac"/>
              <w:rPr>
                <w:rFonts w:ascii="Times New Roman" w:hAnsi="Times New Roman" w:cs="Times New Roman"/>
                <w:sz w:val="28"/>
                <w:szCs w:val="28"/>
              </w:rPr>
            </w:pPr>
            <w:r w:rsidRPr="0044377F">
              <w:rPr>
                <w:rFonts w:ascii="Times New Roman" w:hAnsi="Times New Roman" w:cs="Times New Roman"/>
                <w:sz w:val="28"/>
                <w:szCs w:val="28"/>
              </w:rPr>
              <w:lastRenderedPageBreak/>
              <w:t xml:space="preserve">Частка закладів освіти, які облаштовані </w:t>
            </w:r>
            <w:r w:rsidRPr="0044377F">
              <w:rPr>
                <w:rFonts w:ascii="Times New Roman" w:hAnsi="Times New Roman" w:cs="Times New Roman"/>
                <w:sz w:val="28"/>
                <w:szCs w:val="28"/>
              </w:rPr>
              <w:lastRenderedPageBreak/>
              <w:t>системою протипожежного захисту</w:t>
            </w:r>
          </w:p>
        </w:tc>
        <w:tc>
          <w:tcPr>
            <w:tcW w:w="1843" w:type="dxa"/>
          </w:tcPr>
          <w:p w14:paraId="1A49214A" w14:textId="61F4F203" w:rsidR="00690508" w:rsidRPr="007812E1" w:rsidRDefault="00AB7EC1" w:rsidP="007812E1">
            <w:pPr>
              <w:pStyle w:val="ac"/>
              <w:rPr>
                <w:rFonts w:ascii="Times New Roman" w:hAnsi="Times New Roman" w:cs="Times New Roman"/>
                <w:sz w:val="28"/>
                <w:szCs w:val="28"/>
              </w:rPr>
            </w:pPr>
            <w:r>
              <w:rPr>
                <w:rFonts w:ascii="Times New Roman" w:hAnsi="Times New Roman" w:cs="Times New Roman"/>
                <w:sz w:val="28"/>
                <w:szCs w:val="28"/>
              </w:rPr>
              <w:lastRenderedPageBreak/>
              <w:t>80</w:t>
            </w:r>
          </w:p>
        </w:tc>
        <w:tc>
          <w:tcPr>
            <w:tcW w:w="1701" w:type="dxa"/>
          </w:tcPr>
          <w:p w14:paraId="028ED9B8" w14:textId="3A9EA837" w:rsidR="00690508" w:rsidRPr="007812E1" w:rsidRDefault="00AB7EC1" w:rsidP="007812E1">
            <w:pPr>
              <w:pStyle w:val="ac"/>
              <w:rPr>
                <w:rFonts w:ascii="Times New Roman" w:hAnsi="Times New Roman" w:cs="Times New Roman"/>
                <w:sz w:val="28"/>
                <w:szCs w:val="28"/>
              </w:rPr>
            </w:pPr>
            <w:r>
              <w:rPr>
                <w:rFonts w:ascii="Times New Roman" w:hAnsi="Times New Roman" w:cs="Times New Roman"/>
                <w:sz w:val="28"/>
                <w:szCs w:val="28"/>
              </w:rPr>
              <w:t>80</w:t>
            </w:r>
          </w:p>
        </w:tc>
        <w:tc>
          <w:tcPr>
            <w:tcW w:w="1701" w:type="dxa"/>
          </w:tcPr>
          <w:p w14:paraId="3D432669" w14:textId="111C2C85" w:rsidR="00690508" w:rsidRPr="007812E1" w:rsidRDefault="00AB7EC1" w:rsidP="007812E1">
            <w:pPr>
              <w:pStyle w:val="ac"/>
              <w:rPr>
                <w:rFonts w:ascii="Times New Roman" w:hAnsi="Times New Roman" w:cs="Times New Roman"/>
                <w:sz w:val="28"/>
                <w:szCs w:val="28"/>
              </w:rPr>
            </w:pPr>
            <w:r>
              <w:rPr>
                <w:rFonts w:ascii="Times New Roman" w:hAnsi="Times New Roman" w:cs="Times New Roman"/>
                <w:sz w:val="28"/>
                <w:szCs w:val="28"/>
              </w:rPr>
              <w:t>80</w:t>
            </w:r>
          </w:p>
        </w:tc>
        <w:tc>
          <w:tcPr>
            <w:tcW w:w="1808" w:type="dxa"/>
          </w:tcPr>
          <w:p w14:paraId="54255752" w14:textId="4FE354E4" w:rsidR="00690508" w:rsidRPr="007812E1" w:rsidRDefault="00AB7EC1" w:rsidP="007812E1">
            <w:pPr>
              <w:pStyle w:val="ac"/>
              <w:rPr>
                <w:rFonts w:ascii="Times New Roman" w:hAnsi="Times New Roman" w:cs="Times New Roman"/>
                <w:sz w:val="28"/>
                <w:szCs w:val="28"/>
              </w:rPr>
            </w:pPr>
            <w:r>
              <w:rPr>
                <w:rFonts w:ascii="Times New Roman" w:hAnsi="Times New Roman" w:cs="Times New Roman"/>
                <w:sz w:val="28"/>
                <w:szCs w:val="28"/>
              </w:rPr>
              <w:t>100</w:t>
            </w:r>
          </w:p>
        </w:tc>
      </w:tr>
      <w:tr w:rsidR="00132F76" w:rsidRPr="007812E1" w14:paraId="49ABEA12" w14:textId="77777777" w:rsidTr="0097677C">
        <w:tc>
          <w:tcPr>
            <w:tcW w:w="2263" w:type="dxa"/>
          </w:tcPr>
          <w:p w14:paraId="272A912B" w14:textId="676D831D" w:rsidR="00132F76" w:rsidRPr="00FB2E7A" w:rsidRDefault="0097677C" w:rsidP="007812E1">
            <w:pPr>
              <w:pStyle w:val="ac"/>
              <w:rPr>
                <w:rFonts w:ascii="Times New Roman" w:hAnsi="Times New Roman" w:cs="Times New Roman"/>
                <w:sz w:val="28"/>
                <w:szCs w:val="28"/>
                <w:lang w:val="en-US"/>
              </w:rPr>
            </w:pPr>
            <w:r w:rsidRPr="0097677C">
              <w:rPr>
                <w:rFonts w:ascii="Times New Roman" w:hAnsi="Times New Roman" w:cs="Times New Roman"/>
                <w:sz w:val="28"/>
                <w:szCs w:val="28"/>
              </w:rPr>
              <w:lastRenderedPageBreak/>
              <w:t>Освіта</w:t>
            </w:r>
          </w:p>
        </w:tc>
        <w:tc>
          <w:tcPr>
            <w:tcW w:w="3030" w:type="dxa"/>
          </w:tcPr>
          <w:p w14:paraId="270FF7A3" w14:textId="7D2063EE" w:rsidR="00132F76" w:rsidRPr="007812E1" w:rsidRDefault="0097677C" w:rsidP="007812E1">
            <w:pPr>
              <w:pStyle w:val="ac"/>
              <w:rPr>
                <w:rFonts w:ascii="Times New Roman" w:hAnsi="Times New Roman" w:cs="Times New Roman"/>
                <w:sz w:val="28"/>
                <w:szCs w:val="28"/>
              </w:rPr>
            </w:pPr>
            <w:r w:rsidRPr="0097677C">
              <w:rPr>
                <w:rFonts w:ascii="Times New Roman" w:hAnsi="Times New Roman" w:cs="Times New Roman"/>
                <w:sz w:val="28"/>
                <w:szCs w:val="28"/>
              </w:rPr>
              <w:t>Забезпечення доступу до якісного та безпечного харчування у закладах освіти шляхом розвитку сучасної інфраструктури їдалень (харчоблоків</w:t>
            </w:r>
            <w:r>
              <w:rPr>
                <w:rFonts w:ascii="Times New Roman" w:hAnsi="Times New Roman" w:cs="Times New Roman"/>
                <w:sz w:val="28"/>
                <w:szCs w:val="28"/>
              </w:rPr>
              <w:t>)</w:t>
            </w:r>
          </w:p>
        </w:tc>
        <w:tc>
          <w:tcPr>
            <w:tcW w:w="2782" w:type="dxa"/>
          </w:tcPr>
          <w:p w14:paraId="2A9BF9F7" w14:textId="0CC714D2" w:rsidR="00132F76" w:rsidRPr="005F6988" w:rsidRDefault="00782D85" w:rsidP="007812E1">
            <w:pPr>
              <w:pStyle w:val="ac"/>
              <w:rPr>
                <w:rFonts w:ascii="Times New Roman" w:hAnsi="Times New Roman" w:cs="Times New Roman"/>
                <w:sz w:val="28"/>
                <w:szCs w:val="28"/>
              </w:rPr>
            </w:pPr>
            <w:r w:rsidRPr="00782D85">
              <w:rPr>
                <w:rFonts w:ascii="Times New Roman" w:hAnsi="Times New Roman" w:cs="Times New Roman"/>
                <w:sz w:val="28"/>
                <w:szCs w:val="28"/>
              </w:rPr>
              <w:t>Частка закладів освіти, у яких модернізовано харчоблоки та впроваджено новітні технологічні стандарти приготування їжі (%)</w:t>
            </w:r>
          </w:p>
        </w:tc>
        <w:tc>
          <w:tcPr>
            <w:tcW w:w="1843" w:type="dxa"/>
          </w:tcPr>
          <w:p w14:paraId="3CD132BA" w14:textId="221AE037" w:rsidR="00132F76"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30</w:t>
            </w:r>
          </w:p>
        </w:tc>
        <w:tc>
          <w:tcPr>
            <w:tcW w:w="1701" w:type="dxa"/>
          </w:tcPr>
          <w:p w14:paraId="4093D3AD" w14:textId="1CB094CE" w:rsidR="00132F76" w:rsidRDefault="00986F67" w:rsidP="007812E1">
            <w:pPr>
              <w:pStyle w:val="ac"/>
              <w:rPr>
                <w:rFonts w:ascii="Times New Roman" w:hAnsi="Times New Roman" w:cs="Times New Roman"/>
                <w:sz w:val="28"/>
                <w:szCs w:val="28"/>
              </w:rPr>
            </w:pPr>
            <w:r>
              <w:rPr>
                <w:rFonts w:ascii="Times New Roman" w:hAnsi="Times New Roman" w:cs="Times New Roman"/>
                <w:sz w:val="28"/>
                <w:szCs w:val="28"/>
              </w:rPr>
              <w:t>30</w:t>
            </w:r>
          </w:p>
        </w:tc>
        <w:tc>
          <w:tcPr>
            <w:tcW w:w="1701" w:type="dxa"/>
          </w:tcPr>
          <w:p w14:paraId="022C5FFB" w14:textId="729D6E66" w:rsidR="00132F76" w:rsidRDefault="00986F67" w:rsidP="007812E1">
            <w:pPr>
              <w:pStyle w:val="ac"/>
              <w:rPr>
                <w:rFonts w:ascii="Times New Roman" w:hAnsi="Times New Roman" w:cs="Times New Roman"/>
                <w:sz w:val="28"/>
                <w:szCs w:val="28"/>
              </w:rPr>
            </w:pPr>
            <w:r>
              <w:rPr>
                <w:rFonts w:ascii="Times New Roman" w:hAnsi="Times New Roman" w:cs="Times New Roman"/>
                <w:sz w:val="28"/>
                <w:szCs w:val="28"/>
              </w:rPr>
              <w:t>30</w:t>
            </w:r>
          </w:p>
        </w:tc>
        <w:tc>
          <w:tcPr>
            <w:tcW w:w="1808" w:type="dxa"/>
          </w:tcPr>
          <w:p w14:paraId="7B6AC246" w14:textId="712CD6E9" w:rsidR="00132F76" w:rsidRPr="007812E1" w:rsidRDefault="00986F67" w:rsidP="007812E1">
            <w:pPr>
              <w:pStyle w:val="ac"/>
              <w:rPr>
                <w:rFonts w:ascii="Times New Roman" w:hAnsi="Times New Roman" w:cs="Times New Roman"/>
                <w:sz w:val="28"/>
                <w:szCs w:val="28"/>
              </w:rPr>
            </w:pPr>
            <w:r>
              <w:rPr>
                <w:rFonts w:ascii="Times New Roman" w:hAnsi="Times New Roman" w:cs="Times New Roman"/>
                <w:sz w:val="28"/>
                <w:szCs w:val="28"/>
              </w:rPr>
              <w:t>6</w:t>
            </w:r>
            <w:r w:rsidR="00782D85">
              <w:rPr>
                <w:rFonts w:ascii="Times New Roman" w:hAnsi="Times New Roman" w:cs="Times New Roman"/>
                <w:sz w:val="28"/>
                <w:szCs w:val="28"/>
              </w:rPr>
              <w:t>0</w:t>
            </w:r>
          </w:p>
        </w:tc>
      </w:tr>
      <w:tr w:rsidR="007812E1" w:rsidRPr="007812E1" w14:paraId="60E46E40" w14:textId="77777777" w:rsidTr="0097677C">
        <w:tc>
          <w:tcPr>
            <w:tcW w:w="2263" w:type="dxa"/>
          </w:tcPr>
          <w:p w14:paraId="085A298A" w14:textId="1E99E3EC" w:rsidR="007812E1" w:rsidRPr="007812E1" w:rsidRDefault="0097677C" w:rsidP="007812E1">
            <w:pPr>
              <w:pStyle w:val="ac"/>
              <w:rPr>
                <w:rFonts w:ascii="Times New Roman" w:hAnsi="Times New Roman" w:cs="Times New Roman"/>
                <w:sz w:val="28"/>
                <w:szCs w:val="28"/>
              </w:rPr>
            </w:pPr>
            <w:r w:rsidRPr="0097677C">
              <w:rPr>
                <w:rFonts w:ascii="Times New Roman" w:hAnsi="Times New Roman" w:cs="Times New Roman"/>
                <w:sz w:val="28"/>
                <w:szCs w:val="28"/>
              </w:rPr>
              <w:t>Освіта</w:t>
            </w:r>
          </w:p>
        </w:tc>
        <w:tc>
          <w:tcPr>
            <w:tcW w:w="3030" w:type="dxa"/>
          </w:tcPr>
          <w:p w14:paraId="05F846FD" w14:textId="7EB70EDB" w:rsidR="007812E1" w:rsidRPr="007812E1" w:rsidRDefault="0097677C" w:rsidP="007812E1">
            <w:pPr>
              <w:pStyle w:val="ac"/>
              <w:rPr>
                <w:rFonts w:ascii="Times New Roman" w:hAnsi="Times New Roman" w:cs="Times New Roman"/>
                <w:sz w:val="28"/>
                <w:szCs w:val="28"/>
              </w:rPr>
            </w:pPr>
            <w:proofErr w:type="spellStart"/>
            <w:r w:rsidRPr="0097677C">
              <w:rPr>
                <w:rFonts w:ascii="Times New Roman" w:hAnsi="Times New Roman" w:cs="Times New Roman"/>
                <w:sz w:val="28"/>
                <w:szCs w:val="28"/>
                <w:lang w:val="ru-RU"/>
              </w:rPr>
              <w:t>Облаштування</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захисних</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споруд</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цивільного</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захисту</w:t>
            </w:r>
            <w:proofErr w:type="spellEnd"/>
            <w:r w:rsidRPr="0097677C">
              <w:rPr>
                <w:rFonts w:ascii="Times New Roman" w:hAnsi="Times New Roman" w:cs="Times New Roman"/>
                <w:sz w:val="28"/>
                <w:szCs w:val="28"/>
                <w:lang w:val="ru-RU"/>
              </w:rPr>
              <w:t xml:space="preserve"> (</w:t>
            </w:r>
            <w:proofErr w:type="spellStart"/>
            <w:r w:rsidRPr="0097677C">
              <w:rPr>
                <w:rFonts w:ascii="Times New Roman" w:hAnsi="Times New Roman" w:cs="Times New Roman"/>
                <w:sz w:val="28"/>
                <w:szCs w:val="28"/>
                <w:lang w:val="ru-RU"/>
              </w:rPr>
              <w:t>укриттів</w:t>
            </w:r>
            <w:proofErr w:type="spellEnd"/>
            <w:r w:rsidRPr="0097677C">
              <w:rPr>
                <w:rFonts w:ascii="Times New Roman" w:hAnsi="Times New Roman" w:cs="Times New Roman"/>
                <w:sz w:val="28"/>
                <w:szCs w:val="28"/>
                <w:lang w:val="ru-RU"/>
              </w:rPr>
              <w:t xml:space="preserve">) у закладах та </w:t>
            </w:r>
            <w:proofErr w:type="spellStart"/>
            <w:r w:rsidRPr="0097677C">
              <w:rPr>
                <w:rFonts w:ascii="Times New Roman" w:hAnsi="Times New Roman" w:cs="Times New Roman"/>
                <w:sz w:val="28"/>
                <w:szCs w:val="28"/>
                <w:lang w:val="ru-RU"/>
              </w:rPr>
              <w:t>установах</w:t>
            </w:r>
            <w:proofErr w:type="spellEnd"/>
          </w:p>
        </w:tc>
        <w:tc>
          <w:tcPr>
            <w:tcW w:w="2782" w:type="dxa"/>
          </w:tcPr>
          <w:p w14:paraId="20C7FFB3" w14:textId="4991A9CB" w:rsidR="007812E1" w:rsidRPr="007812E1" w:rsidRDefault="00AB7EC1" w:rsidP="007812E1">
            <w:pPr>
              <w:pStyle w:val="ac"/>
              <w:rPr>
                <w:rFonts w:ascii="Times New Roman" w:hAnsi="Times New Roman" w:cs="Times New Roman"/>
                <w:sz w:val="28"/>
                <w:szCs w:val="28"/>
              </w:rPr>
            </w:pPr>
            <w:r w:rsidRPr="00AB7EC1">
              <w:rPr>
                <w:rFonts w:ascii="Times New Roman" w:hAnsi="Times New Roman" w:cs="Times New Roman"/>
                <w:sz w:val="28"/>
                <w:szCs w:val="28"/>
              </w:rPr>
              <w:t>Частка здобувачів загальної середньої освіти, які мають можливість укриття в захисних спорудах цивільного захисту та об’єктах фонду захисних споруд цивільного захисту</w:t>
            </w:r>
          </w:p>
        </w:tc>
        <w:tc>
          <w:tcPr>
            <w:tcW w:w="1843" w:type="dxa"/>
          </w:tcPr>
          <w:p w14:paraId="33A93AD0" w14:textId="48BADF7E" w:rsidR="007812E1" w:rsidRPr="007812E1" w:rsidRDefault="0044377F" w:rsidP="007812E1">
            <w:pPr>
              <w:pStyle w:val="ac"/>
              <w:rPr>
                <w:rFonts w:ascii="Times New Roman" w:hAnsi="Times New Roman" w:cs="Times New Roman"/>
                <w:sz w:val="28"/>
                <w:szCs w:val="28"/>
              </w:rPr>
            </w:pPr>
            <w:r>
              <w:rPr>
                <w:rFonts w:ascii="Times New Roman" w:hAnsi="Times New Roman" w:cs="Times New Roman"/>
                <w:sz w:val="28"/>
                <w:szCs w:val="28"/>
              </w:rPr>
              <w:t>8</w:t>
            </w:r>
            <w:r w:rsidR="00AB7EC1">
              <w:rPr>
                <w:rFonts w:ascii="Times New Roman" w:hAnsi="Times New Roman" w:cs="Times New Roman"/>
                <w:sz w:val="28"/>
                <w:szCs w:val="28"/>
              </w:rPr>
              <w:t>5</w:t>
            </w:r>
          </w:p>
        </w:tc>
        <w:tc>
          <w:tcPr>
            <w:tcW w:w="1701" w:type="dxa"/>
          </w:tcPr>
          <w:p w14:paraId="7E420DA8" w14:textId="1FFCC55D" w:rsidR="007812E1" w:rsidRDefault="0044377F" w:rsidP="007812E1">
            <w:pPr>
              <w:pStyle w:val="ac"/>
              <w:rPr>
                <w:rFonts w:ascii="Times New Roman" w:hAnsi="Times New Roman" w:cs="Times New Roman"/>
                <w:sz w:val="28"/>
                <w:szCs w:val="28"/>
              </w:rPr>
            </w:pPr>
            <w:r>
              <w:rPr>
                <w:rFonts w:ascii="Times New Roman" w:hAnsi="Times New Roman" w:cs="Times New Roman"/>
                <w:sz w:val="28"/>
                <w:szCs w:val="28"/>
              </w:rPr>
              <w:t>8</w:t>
            </w:r>
            <w:r w:rsidR="00AB7EC1">
              <w:rPr>
                <w:rFonts w:ascii="Times New Roman" w:hAnsi="Times New Roman" w:cs="Times New Roman"/>
                <w:sz w:val="28"/>
                <w:szCs w:val="28"/>
              </w:rPr>
              <w:t>5</w:t>
            </w:r>
          </w:p>
        </w:tc>
        <w:tc>
          <w:tcPr>
            <w:tcW w:w="1701" w:type="dxa"/>
          </w:tcPr>
          <w:p w14:paraId="4712ECE7" w14:textId="1D7C0469" w:rsidR="007812E1" w:rsidRDefault="0044377F" w:rsidP="007812E1">
            <w:pPr>
              <w:pStyle w:val="ac"/>
              <w:rPr>
                <w:rFonts w:ascii="Times New Roman" w:hAnsi="Times New Roman" w:cs="Times New Roman"/>
                <w:sz w:val="28"/>
                <w:szCs w:val="28"/>
              </w:rPr>
            </w:pPr>
            <w:r>
              <w:rPr>
                <w:rFonts w:ascii="Times New Roman" w:hAnsi="Times New Roman" w:cs="Times New Roman"/>
                <w:sz w:val="28"/>
                <w:szCs w:val="28"/>
              </w:rPr>
              <w:t>8</w:t>
            </w:r>
            <w:r w:rsidR="00AB7EC1">
              <w:rPr>
                <w:rFonts w:ascii="Times New Roman" w:hAnsi="Times New Roman" w:cs="Times New Roman"/>
                <w:sz w:val="28"/>
                <w:szCs w:val="28"/>
              </w:rPr>
              <w:t>5</w:t>
            </w:r>
          </w:p>
        </w:tc>
        <w:tc>
          <w:tcPr>
            <w:tcW w:w="1808" w:type="dxa"/>
          </w:tcPr>
          <w:p w14:paraId="3C1731F6" w14:textId="162C6BE4" w:rsidR="007812E1" w:rsidRPr="007812E1" w:rsidRDefault="00782D85" w:rsidP="007812E1">
            <w:pPr>
              <w:pStyle w:val="ac"/>
              <w:rPr>
                <w:rFonts w:ascii="Times New Roman" w:hAnsi="Times New Roman" w:cs="Times New Roman"/>
                <w:sz w:val="28"/>
                <w:szCs w:val="28"/>
              </w:rPr>
            </w:pPr>
            <w:r>
              <w:rPr>
                <w:rFonts w:ascii="Times New Roman" w:hAnsi="Times New Roman" w:cs="Times New Roman"/>
                <w:sz w:val="28"/>
                <w:szCs w:val="28"/>
              </w:rPr>
              <w:t>100</w:t>
            </w:r>
          </w:p>
        </w:tc>
      </w:tr>
    </w:tbl>
    <w:p w14:paraId="24A0576F" w14:textId="77777777" w:rsidR="007812E1" w:rsidRDefault="007812E1" w:rsidP="00DE42DE">
      <w:pPr>
        <w:pStyle w:val="ac"/>
        <w:jc w:val="both"/>
        <w:rPr>
          <w:rFonts w:ascii="Times New Roman" w:hAnsi="Times New Roman" w:cs="Times New Roman"/>
          <w:sz w:val="28"/>
          <w:szCs w:val="28"/>
        </w:rPr>
      </w:pPr>
    </w:p>
    <w:p w14:paraId="348C955D" w14:textId="07A10C74" w:rsidR="00413BF9" w:rsidRPr="000275DF" w:rsidRDefault="00413BF9" w:rsidP="00413BF9">
      <w:pPr>
        <w:pStyle w:val="ac"/>
        <w:jc w:val="both"/>
        <w:rPr>
          <w:rFonts w:ascii="Times New Roman" w:hAnsi="Times New Roman" w:cs="Times New Roman"/>
          <w:b/>
          <w:bCs/>
          <w:sz w:val="28"/>
          <w:szCs w:val="28"/>
          <w:u w:val="single"/>
        </w:rPr>
      </w:pPr>
      <w:r w:rsidRPr="00A723AB">
        <w:rPr>
          <w:rFonts w:ascii="Times New Roman" w:hAnsi="Times New Roman" w:cs="Times New Roman"/>
          <w:sz w:val="28"/>
          <w:szCs w:val="28"/>
        </w:rPr>
        <w:t xml:space="preserve">Галузь (сектор) для публічного інвестування – </w:t>
      </w:r>
      <w:r w:rsidRPr="000275DF">
        <w:rPr>
          <w:rFonts w:ascii="Times New Roman" w:hAnsi="Times New Roman" w:cs="Times New Roman"/>
          <w:b/>
          <w:bCs/>
          <w:sz w:val="28"/>
          <w:szCs w:val="28"/>
          <w:u w:val="single"/>
        </w:rPr>
        <w:t>громадська безпека</w:t>
      </w:r>
    </w:p>
    <w:p w14:paraId="104AE8FB" w14:textId="747FF68E" w:rsidR="00413BF9" w:rsidRDefault="00413BF9" w:rsidP="00413BF9">
      <w:pPr>
        <w:pStyle w:val="ac"/>
        <w:jc w:val="both"/>
        <w:rPr>
          <w:rFonts w:ascii="Times New Roman" w:hAnsi="Times New Roman" w:cs="Times New Roman"/>
          <w:sz w:val="28"/>
          <w:szCs w:val="28"/>
        </w:rPr>
      </w:pPr>
      <w:r w:rsidRPr="00A723AB">
        <w:rPr>
          <w:rFonts w:ascii="Times New Roman" w:hAnsi="Times New Roman" w:cs="Times New Roman"/>
          <w:sz w:val="28"/>
          <w:szCs w:val="28"/>
        </w:rPr>
        <w:t>Головний розпорядник коштів місцевого бюджету, відповідальний за галузь (сектор) для публічного інвестування</w:t>
      </w:r>
      <w:r>
        <w:rPr>
          <w:rFonts w:ascii="Times New Roman" w:hAnsi="Times New Roman" w:cs="Times New Roman"/>
          <w:sz w:val="28"/>
          <w:szCs w:val="28"/>
        </w:rPr>
        <w:t xml:space="preserve"> -виконавчий комітет Білозірської сільської ради Білозірської сільської ради.</w:t>
      </w:r>
    </w:p>
    <w:p w14:paraId="24D890A5" w14:textId="43BEFD5C" w:rsidR="00413BF9" w:rsidRDefault="00413BF9" w:rsidP="00413BF9">
      <w:pPr>
        <w:pStyle w:val="ac"/>
        <w:jc w:val="both"/>
        <w:rPr>
          <w:rFonts w:ascii="Times New Roman" w:hAnsi="Times New Roman" w:cs="Times New Roman"/>
          <w:sz w:val="28"/>
          <w:szCs w:val="28"/>
        </w:rPr>
      </w:pPr>
      <w:r w:rsidRPr="00A723AB">
        <w:rPr>
          <w:rFonts w:ascii="Times New Roman" w:hAnsi="Times New Roman" w:cs="Times New Roman"/>
          <w:sz w:val="28"/>
          <w:szCs w:val="28"/>
        </w:rPr>
        <w:t>Граничний сукупний обсяг публічних інвестицій на середньостроковий період –</w:t>
      </w:r>
      <w:r w:rsidR="007A7231">
        <w:rPr>
          <w:rFonts w:ascii="Times New Roman" w:hAnsi="Times New Roman" w:cs="Times New Roman"/>
          <w:sz w:val="28"/>
          <w:szCs w:val="28"/>
        </w:rPr>
        <w:t xml:space="preserve"> </w:t>
      </w:r>
      <w:r w:rsidR="00F920A0">
        <w:rPr>
          <w:rFonts w:ascii="Times New Roman" w:hAnsi="Times New Roman" w:cs="Times New Roman"/>
          <w:sz w:val="28"/>
          <w:szCs w:val="28"/>
        </w:rPr>
        <w:t>45</w:t>
      </w:r>
      <w:r w:rsidR="007A7231">
        <w:rPr>
          <w:rFonts w:ascii="Times New Roman" w:hAnsi="Times New Roman" w:cs="Times New Roman"/>
          <w:sz w:val="28"/>
          <w:szCs w:val="28"/>
        </w:rPr>
        <w:t>00</w:t>
      </w:r>
      <w:r w:rsidRPr="00A723AB">
        <w:rPr>
          <w:rFonts w:ascii="Times New Roman" w:hAnsi="Times New Roman" w:cs="Times New Roman"/>
          <w:sz w:val="28"/>
          <w:szCs w:val="28"/>
        </w:rPr>
        <w:t xml:space="preserve"> тис.</w:t>
      </w:r>
      <w:r>
        <w:rPr>
          <w:rFonts w:ascii="Times New Roman" w:hAnsi="Times New Roman" w:cs="Times New Roman"/>
          <w:sz w:val="28"/>
          <w:szCs w:val="28"/>
        </w:rPr>
        <w:t xml:space="preserve"> </w:t>
      </w:r>
      <w:r w:rsidRPr="00A723AB">
        <w:rPr>
          <w:rFonts w:ascii="Times New Roman" w:hAnsi="Times New Roman" w:cs="Times New Roman"/>
          <w:sz w:val="28"/>
          <w:szCs w:val="28"/>
        </w:rPr>
        <w:t>грн.</w:t>
      </w:r>
    </w:p>
    <w:p w14:paraId="0B86D483" w14:textId="77777777" w:rsidR="00DE42DE" w:rsidRDefault="00DE42DE" w:rsidP="00413BF9">
      <w:pPr>
        <w:pStyle w:val="ac"/>
        <w:jc w:val="both"/>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2263"/>
        <w:gridCol w:w="2977"/>
        <w:gridCol w:w="2835"/>
        <w:gridCol w:w="1701"/>
        <w:gridCol w:w="1701"/>
        <w:gridCol w:w="1843"/>
        <w:gridCol w:w="1808"/>
      </w:tblGrid>
      <w:tr w:rsidR="000275DF" w14:paraId="5EB78369" w14:textId="77777777" w:rsidTr="000275DF">
        <w:tc>
          <w:tcPr>
            <w:tcW w:w="2263" w:type="dxa"/>
          </w:tcPr>
          <w:p w14:paraId="48960EDC" w14:textId="74F2ED97" w:rsidR="000275DF" w:rsidRPr="00A723AB" w:rsidRDefault="000275DF" w:rsidP="000275DF">
            <w:pPr>
              <w:pStyle w:val="ac"/>
              <w:jc w:val="both"/>
              <w:rPr>
                <w:rFonts w:ascii="Times New Roman" w:hAnsi="Times New Roman" w:cs="Times New Roman"/>
                <w:sz w:val="28"/>
                <w:szCs w:val="28"/>
              </w:rPr>
            </w:pPr>
            <w:proofErr w:type="spellStart"/>
            <w:r w:rsidRPr="00690508">
              <w:rPr>
                <w:rFonts w:ascii="Times New Roman" w:hAnsi="Times New Roman" w:cs="Times New Roman"/>
                <w:sz w:val="28"/>
                <w:szCs w:val="28"/>
              </w:rPr>
              <w:t>Підсектор</w:t>
            </w:r>
            <w:proofErr w:type="spellEnd"/>
            <w:r w:rsidRPr="00690508">
              <w:rPr>
                <w:rFonts w:ascii="Times New Roman" w:hAnsi="Times New Roman" w:cs="Times New Roman"/>
                <w:sz w:val="28"/>
                <w:szCs w:val="28"/>
              </w:rPr>
              <w:t xml:space="preserve"> галузі (сектору) для публічного </w:t>
            </w:r>
            <w:r w:rsidRPr="00690508">
              <w:rPr>
                <w:rFonts w:ascii="Times New Roman" w:hAnsi="Times New Roman" w:cs="Times New Roman"/>
                <w:sz w:val="28"/>
                <w:szCs w:val="28"/>
              </w:rPr>
              <w:lastRenderedPageBreak/>
              <w:t>інвестування</w:t>
            </w:r>
          </w:p>
        </w:tc>
        <w:tc>
          <w:tcPr>
            <w:tcW w:w="2977" w:type="dxa"/>
          </w:tcPr>
          <w:p w14:paraId="3FC4F0C1" w14:textId="3ED82BFE"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lastRenderedPageBreak/>
              <w:t>Основний напрям публічного інвестування</w:t>
            </w:r>
          </w:p>
        </w:tc>
        <w:tc>
          <w:tcPr>
            <w:tcW w:w="2835" w:type="dxa"/>
          </w:tcPr>
          <w:p w14:paraId="0154E5FF" w14:textId="0CBFB200"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t>Найменування цільового показника</w:t>
            </w:r>
          </w:p>
        </w:tc>
        <w:tc>
          <w:tcPr>
            <w:tcW w:w="1701" w:type="dxa"/>
          </w:tcPr>
          <w:p w14:paraId="31081EDC" w14:textId="27914AA0"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t>Базове значення (%)</w:t>
            </w:r>
          </w:p>
        </w:tc>
        <w:tc>
          <w:tcPr>
            <w:tcW w:w="1701" w:type="dxa"/>
          </w:tcPr>
          <w:p w14:paraId="1F94B2BF" w14:textId="75B9E304"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2027 р. (%</w:t>
            </w:r>
          </w:p>
        </w:tc>
        <w:tc>
          <w:tcPr>
            <w:tcW w:w="1843" w:type="dxa"/>
          </w:tcPr>
          <w:p w14:paraId="7C0C5173" w14:textId="7C9EAB77"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8</w:t>
            </w:r>
            <w:r w:rsidRPr="00690508">
              <w:rPr>
                <w:rFonts w:ascii="Times New Roman" w:hAnsi="Times New Roman" w:cs="Times New Roman"/>
                <w:sz w:val="28"/>
                <w:szCs w:val="28"/>
              </w:rPr>
              <w:t xml:space="preserve"> р. (%</w:t>
            </w:r>
          </w:p>
        </w:tc>
        <w:tc>
          <w:tcPr>
            <w:tcW w:w="1808" w:type="dxa"/>
          </w:tcPr>
          <w:p w14:paraId="7F9DAB09" w14:textId="1C8283E6" w:rsidR="000275DF" w:rsidRPr="00A723AB" w:rsidRDefault="000275DF" w:rsidP="000275DF">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9</w:t>
            </w:r>
            <w:r w:rsidRPr="00690508">
              <w:rPr>
                <w:rFonts w:ascii="Times New Roman" w:hAnsi="Times New Roman" w:cs="Times New Roman"/>
                <w:sz w:val="28"/>
                <w:szCs w:val="28"/>
              </w:rPr>
              <w:t xml:space="preserve"> р. (%</w:t>
            </w:r>
          </w:p>
        </w:tc>
      </w:tr>
      <w:tr w:rsidR="00413BF9" w14:paraId="062F5C02" w14:textId="77777777" w:rsidTr="000275DF">
        <w:tc>
          <w:tcPr>
            <w:tcW w:w="2263" w:type="dxa"/>
          </w:tcPr>
          <w:p w14:paraId="413938D3" w14:textId="22DCDD64" w:rsidR="00413BF9" w:rsidRPr="00A723AB" w:rsidRDefault="000275DF" w:rsidP="00B72A57">
            <w:pPr>
              <w:pStyle w:val="ac"/>
              <w:jc w:val="both"/>
              <w:rPr>
                <w:rFonts w:ascii="Times New Roman" w:hAnsi="Times New Roman" w:cs="Times New Roman"/>
                <w:sz w:val="28"/>
                <w:szCs w:val="28"/>
              </w:rPr>
            </w:pPr>
            <w:r>
              <w:rPr>
                <w:rFonts w:ascii="Times New Roman" w:hAnsi="Times New Roman" w:cs="Times New Roman"/>
                <w:sz w:val="28"/>
                <w:szCs w:val="28"/>
              </w:rPr>
              <w:lastRenderedPageBreak/>
              <w:t>Цивільний захист</w:t>
            </w:r>
          </w:p>
        </w:tc>
        <w:tc>
          <w:tcPr>
            <w:tcW w:w="2977" w:type="dxa"/>
          </w:tcPr>
          <w:p w14:paraId="4B45BCC9" w14:textId="3920D5C0" w:rsidR="00413BF9" w:rsidRPr="00A723AB" w:rsidRDefault="000275DF" w:rsidP="00B72A57">
            <w:pPr>
              <w:pStyle w:val="ac"/>
              <w:jc w:val="both"/>
              <w:rPr>
                <w:rFonts w:ascii="Times New Roman" w:hAnsi="Times New Roman" w:cs="Times New Roman"/>
                <w:sz w:val="28"/>
                <w:szCs w:val="28"/>
              </w:rPr>
            </w:pPr>
            <w:r w:rsidRPr="000275DF">
              <w:rPr>
                <w:rFonts w:ascii="Times New Roman" w:hAnsi="Times New Roman" w:cs="Times New Roman"/>
                <w:sz w:val="28"/>
                <w:szCs w:val="28"/>
              </w:rPr>
              <w:t>Запровадження ефективної системи оповіщення населення про надзвичайні ситуації</w:t>
            </w:r>
          </w:p>
        </w:tc>
        <w:tc>
          <w:tcPr>
            <w:tcW w:w="2835" w:type="dxa"/>
          </w:tcPr>
          <w:p w14:paraId="4D684575" w14:textId="65641C6F" w:rsidR="00413BF9" w:rsidRPr="007A7231" w:rsidRDefault="000275DF" w:rsidP="00B72A57">
            <w:pPr>
              <w:pStyle w:val="ac"/>
              <w:jc w:val="both"/>
              <w:rPr>
                <w:rFonts w:ascii="Times New Roman" w:hAnsi="Times New Roman" w:cs="Times New Roman"/>
                <w:sz w:val="28"/>
                <w:szCs w:val="28"/>
              </w:rPr>
            </w:pPr>
            <w:proofErr w:type="spellStart"/>
            <w:r w:rsidRPr="007A7231">
              <w:rPr>
                <w:rFonts w:ascii="Times New Roman" w:hAnsi="Times New Roman" w:cs="Times New Roman"/>
                <w:sz w:val="28"/>
                <w:szCs w:val="28"/>
                <w:lang w:val="ru-RU"/>
              </w:rPr>
              <w:t>Покриття</w:t>
            </w:r>
            <w:proofErr w:type="spellEnd"/>
            <w:r w:rsidRPr="007A7231">
              <w:rPr>
                <w:rFonts w:ascii="Times New Roman" w:hAnsi="Times New Roman" w:cs="Times New Roman"/>
                <w:sz w:val="28"/>
                <w:szCs w:val="28"/>
                <w:lang w:val="ru-RU"/>
              </w:rPr>
              <w:t xml:space="preserve"> </w:t>
            </w:r>
            <w:proofErr w:type="spellStart"/>
            <w:r w:rsidRPr="007A7231">
              <w:rPr>
                <w:rFonts w:ascii="Times New Roman" w:hAnsi="Times New Roman" w:cs="Times New Roman"/>
                <w:sz w:val="28"/>
                <w:szCs w:val="28"/>
                <w:lang w:val="ru-RU"/>
              </w:rPr>
              <w:t>населення</w:t>
            </w:r>
            <w:proofErr w:type="spellEnd"/>
            <w:r w:rsidRPr="007A7231">
              <w:rPr>
                <w:rFonts w:ascii="Times New Roman" w:hAnsi="Times New Roman" w:cs="Times New Roman"/>
                <w:sz w:val="28"/>
                <w:szCs w:val="28"/>
                <w:lang w:val="ru-RU"/>
              </w:rPr>
              <w:t xml:space="preserve"> системою </w:t>
            </w:r>
            <w:proofErr w:type="spellStart"/>
            <w:r w:rsidRPr="007A7231">
              <w:rPr>
                <w:rFonts w:ascii="Times New Roman" w:hAnsi="Times New Roman" w:cs="Times New Roman"/>
                <w:sz w:val="28"/>
                <w:szCs w:val="28"/>
                <w:lang w:val="ru-RU"/>
              </w:rPr>
              <w:t>оповіщення</w:t>
            </w:r>
            <w:proofErr w:type="spellEnd"/>
          </w:p>
        </w:tc>
        <w:tc>
          <w:tcPr>
            <w:tcW w:w="1701" w:type="dxa"/>
          </w:tcPr>
          <w:p w14:paraId="343D7C8F" w14:textId="4CD21712" w:rsidR="00413BF9" w:rsidRPr="00A723AB" w:rsidRDefault="000275DF" w:rsidP="00B72A57">
            <w:pPr>
              <w:pStyle w:val="ac"/>
              <w:jc w:val="both"/>
              <w:rPr>
                <w:rFonts w:ascii="Times New Roman" w:hAnsi="Times New Roman" w:cs="Times New Roman"/>
                <w:sz w:val="28"/>
                <w:szCs w:val="28"/>
              </w:rPr>
            </w:pPr>
            <w:r>
              <w:rPr>
                <w:rFonts w:ascii="Times New Roman" w:hAnsi="Times New Roman" w:cs="Times New Roman"/>
                <w:sz w:val="28"/>
                <w:szCs w:val="28"/>
              </w:rPr>
              <w:t>30</w:t>
            </w:r>
          </w:p>
        </w:tc>
        <w:tc>
          <w:tcPr>
            <w:tcW w:w="1701" w:type="dxa"/>
          </w:tcPr>
          <w:p w14:paraId="35E058BC" w14:textId="5278716B" w:rsidR="00413BF9" w:rsidRPr="00A723AB" w:rsidRDefault="000275DF" w:rsidP="00B72A57">
            <w:pPr>
              <w:pStyle w:val="ac"/>
              <w:jc w:val="both"/>
              <w:rPr>
                <w:rFonts w:ascii="Times New Roman" w:hAnsi="Times New Roman" w:cs="Times New Roman"/>
                <w:sz w:val="28"/>
                <w:szCs w:val="28"/>
              </w:rPr>
            </w:pPr>
            <w:r>
              <w:rPr>
                <w:rFonts w:ascii="Times New Roman" w:hAnsi="Times New Roman" w:cs="Times New Roman"/>
                <w:sz w:val="28"/>
                <w:szCs w:val="28"/>
              </w:rPr>
              <w:t>70</w:t>
            </w:r>
          </w:p>
        </w:tc>
        <w:tc>
          <w:tcPr>
            <w:tcW w:w="1843" w:type="dxa"/>
          </w:tcPr>
          <w:p w14:paraId="7AB8F584" w14:textId="09995C21" w:rsidR="00413BF9" w:rsidRPr="00A723AB" w:rsidRDefault="000275DF" w:rsidP="00B72A57">
            <w:pPr>
              <w:pStyle w:val="ac"/>
              <w:jc w:val="both"/>
              <w:rPr>
                <w:rFonts w:ascii="Times New Roman" w:hAnsi="Times New Roman" w:cs="Times New Roman"/>
                <w:sz w:val="28"/>
                <w:szCs w:val="28"/>
              </w:rPr>
            </w:pPr>
            <w:r>
              <w:rPr>
                <w:rFonts w:ascii="Times New Roman" w:hAnsi="Times New Roman" w:cs="Times New Roman"/>
                <w:sz w:val="28"/>
                <w:szCs w:val="28"/>
              </w:rPr>
              <w:t>100</w:t>
            </w:r>
          </w:p>
        </w:tc>
        <w:tc>
          <w:tcPr>
            <w:tcW w:w="1808" w:type="dxa"/>
          </w:tcPr>
          <w:p w14:paraId="24AFC543" w14:textId="156A496A" w:rsidR="00413BF9" w:rsidRPr="00A723AB" w:rsidRDefault="000275DF" w:rsidP="00B72A57">
            <w:pPr>
              <w:pStyle w:val="ac"/>
              <w:jc w:val="both"/>
              <w:rPr>
                <w:rFonts w:ascii="Times New Roman" w:hAnsi="Times New Roman" w:cs="Times New Roman"/>
                <w:sz w:val="28"/>
                <w:szCs w:val="28"/>
              </w:rPr>
            </w:pPr>
            <w:r>
              <w:rPr>
                <w:rFonts w:ascii="Times New Roman" w:hAnsi="Times New Roman" w:cs="Times New Roman"/>
                <w:sz w:val="28"/>
                <w:szCs w:val="28"/>
              </w:rPr>
              <w:t>100</w:t>
            </w:r>
          </w:p>
        </w:tc>
      </w:tr>
      <w:tr w:rsidR="00043275" w14:paraId="28803E10" w14:textId="77777777" w:rsidTr="000275DF">
        <w:tc>
          <w:tcPr>
            <w:tcW w:w="2263" w:type="dxa"/>
          </w:tcPr>
          <w:p w14:paraId="108A1F36" w14:textId="7B808DCF" w:rsidR="00043275" w:rsidRPr="00413BF9" w:rsidRDefault="000275DF" w:rsidP="00B72A57">
            <w:pPr>
              <w:pStyle w:val="ac"/>
              <w:jc w:val="both"/>
              <w:rPr>
                <w:rFonts w:ascii="Times New Roman" w:hAnsi="Times New Roman" w:cs="Times New Roman"/>
                <w:sz w:val="28"/>
                <w:szCs w:val="28"/>
              </w:rPr>
            </w:pPr>
            <w:r w:rsidRPr="000275DF">
              <w:rPr>
                <w:rFonts w:ascii="Times New Roman" w:hAnsi="Times New Roman" w:cs="Times New Roman"/>
                <w:sz w:val="28"/>
                <w:szCs w:val="28"/>
              </w:rPr>
              <w:t>Цивільний захист</w:t>
            </w:r>
          </w:p>
        </w:tc>
        <w:tc>
          <w:tcPr>
            <w:tcW w:w="2977" w:type="dxa"/>
          </w:tcPr>
          <w:p w14:paraId="1DDC1883" w14:textId="3A7A0FEC" w:rsidR="00043275" w:rsidRPr="00A723AB" w:rsidRDefault="00C64170" w:rsidP="00B72A57">
            <w:pPr>
              <w:pStyle w:val="ac"/>
              <w:jc w:val="both"/>
              <w:rPr>
                <w:rFonts w:ascii="Times New Roman" w:hAnsi="Times New Roman" w:cs="Times New Roman"/>
                <w:sz w:val="28"/>
                <w:szCs w:val="28"/>
              </w:rPr>
            </w:pPr>
            <w:r w:rsidRPr="00C64170">
              <w:rPr>
                <w:rFonts w:ascii="Times New Roman" w:hAnsi="Times New Roman" w:cs="Times New Roman"/>
                <w:sz w:val="28"/>
                <w:szCs w:val="28"/>
              </w:rPr>
              <w:t>Запровадження ефективної моделі реагування на надзвичайні ситуації та створення передумов для посилення громадської безпеки</w:t>
            </w:r>
          </w:p>
        </w:tc>
        <w:tc>
          <w:tcPr>
            <w:tcW w:w="2835" w:type="dxa"/>
          </w:tcPr>
          <w:p w14:paraId="1FA50E6B" w14:textId="76652A8E" w:rsidR="00043275" w:rsidRPr="00413BF9" w:rsidRDefault="007A7231" w:rsidP="00B72A57">
            <w:pPr>
              <w:pStyle w:val="ac"/>
              <w:jc w:val="both"/>
              <w:rPr>
                <w:rFonts w:ascii="Times New Roman" w:hAnsi="Times New Roman" w:cs="Times New Roman"/>
                <w:sz w:val="28"/>
                <w:szCs w:val="28"/>
              </w:rPr>
            </w:pPr>
            <w:r w:rsidRPr="007A7231">
              <w:rPr>
                <w:rFonts w:ascii="Times New Roman" w:hAnsi="Times New Roman" w:cs="Times New Roman"/>
                <w:sz w:val="28"/>
                <w:szCs w:val="28"/>
              </w:rPr>
              <w:t>Частка населення громади, охопленого нормативним часом прибуття екстрених служб</w:t>
            </w:r>
          </w:p>
        </w:tc>
        <w:tc>
          <w:tcPr>
            <w:tcW w:w="1701" w:type="dxa"/>
          </w:tcPr>
          <w:p w14:paraId="1A26D486" w14:textId="0C515A92" w:rsidR="00043275" w:rsidRPr="00A12590" w:rsidRDefault="007A7231" w:rsidP="00B72A57">
            <w:pPr>
              <w:pStyle w:val="ac"/>
              <w:jc w:val="both"/>
              <w:rPr>
                <w:rFonts w:ascii="Times New Roman" w:hAnsi="Times New Roman" w:cs="Times New Roman"/>
                <w:sz w:val="28"/>
                <w:szCs w:val="28"/>
              </w:rPr>
            </w:pPr>
            <w:r>
              <w:rPr>
                <w:rFonts w:ascii="Times New Roman" w:hAnsi="Times New Roman" w:cs="Times New Roman"/>
                <w:sz w:val="28"/>
                <w:szCs w:val="28"/>
              </w:rPr>
              <w:t>60</w:t>
            </w:r>
          </w:p>
        </w:tc>
        <w:tc>
          <w:tcPr>
            <w:tcW w:w="1701" w:type="dxa"/>
          </w:tcPr>
          <w:p w14:paraId="5EB3CE40" w14:textId="79EBA845" w:rsidR="00043275" w:rsidRDefault="007A7231" w:rsidP="00B72A57">
            <w:pPr>
              <w:pStyle w:val="ac"/>
              <w:jc w:val="both"/>
              <w:rPr>
                <w:rFonts w:ascii="Times New Roman" w:hAnsi="Times New Roman" w:cs="Times New Roman"/>
                <w:sz w:val="28"/>
                <w:szCs w:val="28"/>
              </w:rPr>
            </w:pPr>
            <w:r>
              <w:rPr>
                <w:rFonts w:ascii="Times New Roman" w:hAnsi="Times New Roman" w:cs="Times New Roman"/>
                <w:sz w:val="28"/>
                <w:szCs w:val="28"/>
              </w:rPr>
              <w:t>60</w:t>
            </w:r>
          </w:p>
        </w:tc>
        <w:tc>
          <w:tcPr>
            <w:tcW w:w="1843" w:type="dxa"/>
          </w:tcPr>
          <w:p w14:paraId="32FC6895" w14:textId="73D02B29" w:rsidR="00043275" w:rsidRDefault="007A7231" w:rsidP="00B72A57">
            <w:pPr>
              <w:pStyle w:val="ac"/>
              <w:jc w:val="both"/>
              <w:rPr>
                <w:rFonts w:ascii="Times New Roman" w:hAnsi="Times New Roman" w:cs="Times New Roman"/>
                <w:sz w:val="28"/>
                <w:szCs w:val="28"/>
              </w:rPr>
            </w:pPr>
            <w:r>
              <w:rPr>
                <w:rFonts w:ascii="Times New Roman" w:hAnsi="Times New Roman" w:cs="Times New Roman"/>
                <w:sz w:val="28"/>
                <w:szCs w:val="28"/>
              </w:rPr>
              <w:t>60</w:t>
            </w:r>
          </w:p>
        </w:tc>
        <w:tc>
          <w:tcPr>
            <w:tcW w:w="1808" w:type="dxa"/>
          </w:tcPr>
          <w:p w14:paraId="1844F539" w14:textId="79832A1A" w:rsidR="00B2252B" w:rsidRPr="00DE42DE" w:rsidRDefault="007A7231" w:rsidP="00B72A57">
            <w:pPr>
              <w:pStyle w:val="ac"/>
              <w:jc w:val="both"/>
              <w:rPr>
                <w:rFonts w:ascii="Times New Roman" w:hAnsi="Times New Roman" w:cs="Times New Roman"/>
                <w:sz w:val="28"/>
                <w:szCs w:val="28"/>
              </w:rPr>
            </w:pPr>
            <w:r>
              <w:rPr>
                <w:rFonts w:ascii="Times New Roman" w:hAnsi="Times New Roman" w:cs="Times New Roman"/>
                <w:sz w:val="28"/>
                <w:szCs w:val="28"/>
              </w:rPr>
              <w:t>100</w:t>
            </w:r>
          </w:p>
        </w:tc>
      </w:tr>
    </w:tbl>
    <w:p w14:paraId="32E1942C" w14:textId="77777777" w:rsidR="00413BF9" w:rsidRDefault="00413BF9" w:rsidP="00413BF9">
      <w:pPr>
        <w:pStyle w:val="ac"/>
        <w:jc w:val="both"/>
        <w:rPr>
          <w:rFonts w:ascii="Times New Roman" w:hAnsi="Times New Roman" w:cs="Times New Roman"/>
          <w:b/>
          <w:bCs/>
          <w:sz w:val="28"/>
          <w:szCs w:val="28"/>
        </w:rPr>
      </w:pPr>
    </w:p>
    <w:p w14:paraId="6A460129" w14:textId="77777777" w:rsidR="001E3B82" w:rsidRDefault="001E3B82" w:rsidP="00413BF9">
      <w:pPr>
        <w:pStyle w:val="ac"/>
        <w:jc w:val="both"/>
        <w:rPr>
          <w:rFonts w:ascii="Times New Roman" w:hAnsi="Times New Roman" w:cs="Times New Roman"/>
          <w:b/>
          <w:bCs/>
          <w:sz w:val="28"/>
          <w:szCs w:val="28"/>
        </w:rPr>
      </w:pPr>
    </w:p>
    <w:p w14:paraId="7B801AE8" w14:textId="2C648801" w:rsidR="00D15137" w:rsidRPr="00A723AB" w:rsidRDefault="00D15137" w:rsidP="00D15137">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Галузь (сектор) для публічного інвестування – </w:t>
      </w:r>
      <w:r w:rsidR="007A7231" w:rsidRPr="007A7231">
        <w:rPr>
          <w:rFonts w:ascii="Times New Roman" w:hAnsi="Times New Roman" w:cs="Times New Roman"/>
          <w:b/>
          <w:bCs/>
          <w:sz w:val="28"/>
          <w:szCs w:val="28"/>
          <w:u w:val="single"/>
        </w:rPr>
        <w:t>Енергетика</w:t>
      </w:r>
    </w:p>
    <w:p w14:paraId="7C95404C" w14:textId="40F9DDC7" w:rsidR="00D15137" w:rsidRDefault="00D15137" w:rsidP="00D15137">
      <w:pPr>
        <w:pStyle w:val="ac"/>
        <w:jc w:val="both"/>
        <w:rPr>
          <w:rFonts w:ascii="Times New Roman" w:hAnsi="Times New Roman" w:cs="Times New Roman"/>
          <w:sz w:val="28"/>
          <w:szCs w:val="28"/>
        </w:rPr>
      </w:pPr>
      <w:r w:rsidRPr="00A723AB">
        <w:rPr>
          <w:rFonts w:ascii="Times New Roman" w:hAnsi="Times New Roman" w:cs="Times New Roman"/>
          <w:sz w:val="28"/>
          <w:szCs w:val="28"/>
        </w:rPr>
        <w:t>Головний розпорядник коштів місцевого бюджету, відповідальний за галузь (сектор) для публічного інвестування</w:t>
      </w:r>
      <w:r>
        <w:rPr>
          <w:rFonts w:ascii="Times New Roman" w:hAnsi="Times New Roman" w:cs="Times New Roman"/>
          <w:sz w:val="28"/>
          <w:szCs w:val="28"/>
        </w:rPr>
        <w:t xml:space="preserve"> -</w:t>
      </w:r>
      <w:r w:rsidRPr="00D15137">
        <w:t xml:space="preserve"> </w:t>
      </w:r>
      <w:r w:rsidRPr="00D15137">
        <w:rPr>
          <w:rFonts w:ascii="Times New Roman" w:hAnsi="Times New Roman" w:cs="Times New Roman"/>
          <w:sz w:val="28"/>
          <w:szCs w:val="28"/>
        </w:rPr>
        <w:t>Управління містобудування та архітектури Білозірської сільської ради</w:t>
      </w:r>
      <w:r>
        <w:rPr>
          <w:rFonts w:ascii="Times New Roman" w:hAnsi="Times New Roman" w:cs="Times New Roman"/>
          <w:sz w:val="28"/>
          <w:szCs w:val="28"/>
        </w:rPr>
        <w:t>.</w:t>
      </w:r>
    </w:p>
    <w:p w14:paraId="04D093EE" w14:textId="5B328957" w:rsidR="00D15137" w:rsidRDefault="00D15137" w:rsidP="00D15137">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7A7231">
        <w:rPr>
          <w:rFonts w:ascii="Times New Roman" w:hAnsi="Times New Roman" w:cs="Times New Roman"/>
          <w:sz w:val="28"/>
          <w:szCs w:val="28"/>
        </w:rPr>
        <w:t>1</w:t>
      </w:r>
      <w:r w:rsidR="00F920A0">
        <w:rPr>
          <w:rFonts w:ascii="Times New Roman" w:hAnsi="Times New Roman" w:cs="Times New Roman"/>
          <w:sz w:val="28"/>
          <w:szCs w:val="28"/>
        </w:rPr>
        <w:t>8</w:t>
      </w:r>
      <w:r>
        <w:rPr>
          <w:rFonts w:ascii="Times New Roman" w:hAnsi="Times New Roman" w:cs="Times New Roman"/>
          <w:sz w:val="28"/>
          <w:szCs w:val="28"/>
        </w:rPr>
        <w:t>00,0</w:t>
      </w:r>
      <w:r w:rsidRPr="00A723AB">
        <w:rPr>
          <w:rFonts w:ascii="Times New Roman" w:hAnsi="Times New Roman" w:cs="Times New Roman"/>
          <w:sz w:val="28"/>
          <w:szCs w:val="28"/>
        </w:rPr>
        <w:t xml:space="preserve"> тис.</w:t>
      </w:r>
      <w:r>
        <w:rPr>
          <w:rFonts w:ascii="Times New Roman" w:hAnsi="Times New Roman" w:cs="Times New Roman"/>
          <w:sz w:val="28"/>
          <w:szCs w:val="28"/>
        </w:rPr>
        <w:t xml:space="preserve"> </w:t>
      </w:r>
      <w:r w:rsidRPr="00A723AB">
        <w:rPr>
          <w:rFonts w:ascii="Times New Roman" w:hAnsi="Times New Roman" w:cs="Times New Roman"/>
          <w:sz w:val="28"/>
          <w:szCs w:val="28"/>
        </w:rPr>
        <w:t>грн.</w:t>
      </w:r>
    </w:p>
    <w:p w14:paraId="0D74BA19" w14:textId="77777777" w:rsidR="00D15137" w:rsidRDefault="00D15137" w:rsidP="00D15137">
      <w:pPr>
        <w:pStyle w:val="ac"/>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63"/>
        <w:gridCol w:w="2696"/>
        <w:gridCol w:w="2151"/>
        <w:gridCol w:w="2021"/>
        <w:gridCol w:w="1956"/>
        <w:gridCol w:w="2026"/>
        <w:gridCol w:w="2095"/>
      </w:tblGrid>
      <w:tr w:rsidR="007A7231" w14:paraId="5AF1F4A2" w14:textId="77777777" w:rsidTr="007A7231">
        <w:tc>
          <w:tcPr>
            <w:tcW w:w="2263" w:type="dxa"/>
          </w:tcPr>
          <w:p w14:paraId="1666C1B6" w14:textId="3DC3BCD2" w:rsidR="007A7231" w:rsidRPr="00A723AB" w:rsidRDefault="007A7231" w:rsidP="007A7231">
            <w:pPr>
              <w:pStyle w:val="ac"/>
              <w:jc w:val="both"/>
              <w:rPr>
                <w:rFonts w:ascii="Times New Roman" w:hAnsi="Times New Roman" w:cs="Times New Roman"/>
                <w:sz w:val="28"/>
                <w:szCs w:val="28"/>
              </w:rPr>
            </w:pPr>
            <w:proofErr w:type="spellStart"/>
            <w:r w:rsidRPr="00690508">
              <w:rPr>
                <w:rFonts w:ascii="Times New Roman" w:hAnsi="Times New Roman" w:cs="Times New Roman"/>
                <w:sz w:val="28"/>
                <w:szCs w:val="28"/>
              </w:rPr>
              <w:t>Підсектор</w:t>
            </w:r>
            <w:proofErr w:type="spellEnd"/>
            <w:r w:rsidRPr="00690508">
              <w:rPr>
                <w:rFonts w:ascii="Times New Roman" w:hAnsi="Times New Roman" w:cs="Times New Roman"/>
                <w:sz w:val="28"/>
                <w:szCs w:val="28"/>
              </w:rPr>
              <w:t xml:space="preserve"> галузі (сектору) для публічного інвестування</w:t>
            </w:r>
          </w:p>
        </w:tc>
        <w:tc>
          <w:tcPr>
            <w:tcW w:w="2696" w:type="dxa"/>
          </w:tcPr>
          <w:p w14:paraId="7F222B32" w14:textId="4FEF6AE5"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Основний напрям публічного інвестування</w:t>
            </w:r>
          </w:p>
        </w:tc>
        <w:tc>
          <w:tcPr>
            <w:tcW w:w="2071" w:type="dxa"/>
          </w:tcPr>
          <w:p w14:paraId="5CE01353" w14:textId="193B9623"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Найменування цільового показника</w:t>
            </w:r>
          </w:p>
        </w:tc>
        <w:tc>
          <w:tcPr>
            <w:tcW w:w="2021" w:type="dxa"/>
          </w:tcPr>
          <w:p w14:paraId="1B52423A" w14:textId="53566A99"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Базове значення (%)</w:t>
            </w:r>
          </w:p>
        </w:tc>
        <w:tc>
          <w:tcPr>
            <w:tcW w:w="1956" w:type="dxa"/>
          </w:tcPr>
          <w:p w14:paraId="3DC37433" w14:textId="1B67BBE1"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2027 р. (%</w:t>
            </w:r>
          </w:p>
        </w:tc>
        <w:tc>
          <w:tcPr>
            <w:tcW w:w="2026" w:type="dxa"/>
          </w:tcPr>
          <w:p w14:paraId="54F8AF32" w14:textId="7DC4DC9B"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8</w:t>
            </w:r>
            <w:r w:rsidRPr="00690508">
              <w:rPr>
                <w:rFonts w:ascii="Times New Roman" w:hAnsi="Times New Roman" w:cs="Times New Roman"/>
                <w:sz w:val="28"/>
                <w:szCs w:val="28"/>
              </w:rPr>
              <w:t xml:space="preserve"> р. (%</w:t>
            </w:r>
          </w:p>
        </w:tc>
        <w:tc>
          <w:tcPr>
            <w:tcW w:w="2095" w:type="dxa"/>
          </w:tcPr>
          <w:p w14:paraId="6365FEEF" w14:textId="10BD0E88" w:rsidR="007A7231" w:rsidRPr="00A723AB" w:rsidRDefault="007A7231" w:rsidP="007A7231">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9</w:t>
            </w:r>
            <w:r w:rsidRPr="00690508">
              <w:rPr>
                <w:rFonts w:ascii="Times New Roman" w:hAnsi="Times New Roman" w:cs="Times New Roman"/>
                <w:sz w:val="28"/>
                <w:szCs w:val="28"/>
              </w:rPr>
              <w:t xml:space="preserve"> р. (%</w:t>
            </w:r>
          </w:p>
        </w:tc>
      </w:tr>
      <w:tr w:rsidR="007A7231" w14:paraId="7DE16C62" w14:textId="77777777" w:rsidTr="007A7231">
        <w:tc>
          <w:tcPr>
            <w:tcW w:w="2263" w:type="dxa"/>
          </w:tcPr>
          <w:p w14:paraId="0F42D494" w14:textId="3E22FDBD" w:rsidR="007A7231" w:rsidRPr="00A723AB" w:rsidRDefault="007A7231" w:rsidP="007A7231">
            <w:pPr>
              <w:pStyle w:val="ac"/>
              <w:jc w:val="both"/>
              <w:rPr>
                <w:rFonts w:ascii="Times New Roman" w:hAnsi="Times New Roman" w:cs="Times New Roman"/>
                <w:sz w:val="28"/>
                <w:szCs w:val="28"/>
              </w:rPr>
            </w:pPr>
            <w:r w:rsidRPr="007A7231">
              <w:rPr>
                <w:rFonts w:ascii="Times New Roman" w:hAnsi="Times New Roman" w:cs="Times New Roman"/>
                <w:sz w:val="28"/>
                <w:szCs w:val="28"/>
              </w:rPr>
              <w:t>Відновлювальні джерела енергії та альтернативні види палива</w:t>
            </w:r>
          </w:p>
        </w:tc>
        <w:tc>
          <w:tcPr>
            <w:tcW w:w="2696" w:type="dxa"/>
          </w:tcPr>
          <w:p w14:paraId="11E1F08F" w14:textId="19C7B3D0" w:rsidR="007A7231" w:rsidRPr="00A723AB" w:rsidRDefault="007A7231" w:rsidP="007A7231">
            <w:pPr>
              <w:pStyle w:val="ac"/>
              <w:jc w:val="both"/>
              <w:rPr>
                <w:rFonts w:ascii="Times New Roman" w:hAnsi="Times New Roman" w:cs="Times New Roman"/>
                <w:sz w:val="28"/>
                <w:szCs w:val="28"/>
              </w:rPr>
            </w:pPr>
            <w:r w:rsidRPr="007A7231">
              <w:rPr>
                <w:rFonts w:ascii="Times New Roman" w:hAnsi="Times New Roman" w:cs="Times New Roman"/>
                <w:sz w:val="28"/>
                <w:szCs w:val="28"/>
              </w:rPr>
              <w:t xml:space="preserve">Встановлення сонячних електростанцій на комунальних </w:t>
            </w:r>
            <w:r w:rsidRPr="007A7231">
              <w:rPr>
                <w:rFonts w:ascii="Times New Roman" w:hAnsi="Times New Roman" w:cs="Times New Roman"/>
                <w:sz w:val="28"/>
                <w:szCs w:val="28"/>
              </w:rPr>
              <w:lastRenderedPageBreak/>
              <w:t>закладах громади</w:t>
            </w:r>
          </w:p>
        </w:tc>
        <w:tc>
          <w:tcPr>
            <w:tcW w:w="2071" w:type="dxa"/>
          </w:tcPr>
          <w:p w14:paraId="23D659AB" w14:textId="5E1F71D8" w:rsidR="007A7231" w:rsidRPr="00A723AB" w:rsidRDefault="007A7231" w:rsidP="007A7231">
            <w:pPr>
              <w:pStyle w:val="ac"/>
              <w:jc w:val="both"/>
              <w:rPr>
                <w:rFonts w:ascii="Times New Roman" w:hAnsi="Times New Roman" w:cs="Times New Roman"/>
                <w:sz w:val="28"/>
                <w:szCs w:val="28"/>
              </w:rPr>
            </w:pPr>
            <w:r w:rsidRPr="007A7231">
              <w:rPr>
                <w:rFonts w:ascii="Times New Roman" w:hAnsi="Times New Roman" w:cs="Times New Roman"/>
                <w:sz w:val="28"/>
                <w:szCs w:val="28"/>
              </w:rPr>
              <w:lastRenderedPageBreak/>
              <w:t xml:space="preserve">Частка закладів бюджетної сфери, що використовують </w:t>
            </w:r>
            <w:r w:rsidRPr="007A7231">
              <w:rPr>
                <w:rFonts w:ascii="Times New Roman" w:hAnsi="Times New Roman" w:cs="Times New Roman"/>
                <w:sz w:val="28"/>
                <w:szCs w:val="28"/>
              </w:rPr>
              <w:lastRenderedPageBreak/>
              <w:t>відновлювану енергію</w:t>
            </w:r>
          </w:p>
        </w:tc>
        <w:tc>
          <w:tcPr>
            <w:tcW w:w="2021" w:type="dxa"/>
          </w:tcPr>
          <w:p w14:paraId="713AC60A" w14:textId="76093037" w:rsidR="007A7231" w:rsidRPr="00A723AB" w:rsidRDefault="007A7231" w:rsidP="007A7231">
            <w:pPr>
              <w:pStyle w:val="ac"/>
              <w:jc w:val="both"/>
              <w:rPr>
                <w:rFonts w:ascii="Times New Roman" w:hAnsi="Times New Roman" w:cs="Times New Roman"/>
                <w:sz w:val="28"/>
                <w:szCs w:val="28"/>
              </w:rPr>
            </w:pPr>
            <w:r>
              <w:rPr>
                <w:rFonts w:ascii="Times New Roman" w:hAnsi="Times New Roman" w:cs="Times New Roman"/>
                <w:sz w:val="28"/>
                <w:szCs w:val="28"/>
              </w:rPr>
              <w:lastRenderedPageBreak/>
              <w:t>0</w:t>
            </w:r>
          </w:p>
        </w:tc>
        <w:tc>
          <w:tcPr>
            <w:tcW w:w="1956" w:type="dxa"/>
          </w:tcPr>
          <w:p w14:paraId="76CC746D" w14:textId="5EC9B0EF" w:rsidR="007A7231" w:rsidRPr="00A723AB" w:rsidRDefault="00F920A0" w:rsidP="007A7231">
            <w:pPr>
              <w:pStyle w:val="ac"/>
              <w:jc w:val="both"/>
              <w:rPr>
                <w:rFonts w:ascii="Times New Roman" w:hAnsi="Times New Roman" w:cs="Times New Roman"/>
                <w:sz w:val="28"/>
                <w:szCs w:val="28"/>
              </w:rPr>
            </w:pPr>
            <w:r>
              <w:rPr>
                <w:rFonts w:ascii="Times New Roman" w:hAnsi="Times New Roman" w:cs="Times New Roman"/>
                <w:sz w:val="28"/>
                <w:szCs w:val="28"/>
              </w:rPr>
              <w:t>20</w:t>
            </w:r>
          </w:p>
        </w:tc>
        <w:tc>
          <w:tcPr>
            <w:tcW w:w="2026" w:type="dxa"/>
          </w:tcPr>
          <w:p w14:paraId="1C9B711C" w14:textId="209C5C64" w:rsidR="007A7231" w:rsidRPr="00A723AB" w:rsidRDefault="00404E5F" w:rsidP="007A7231">
            <w:pPr>
              <w:pStyle w:val="ac"/>
              <w:jc w:val="both"/>
              <w:rPr>
                <w:rFonts w:ascii="Times New Roman" w:hAnsi="Times New Roman" w:cs="Times New Roman"/>
                <w:sz w:val="28"/>
                <w:szCs w:val="28"/>
              </w:rPr>
            </w:pPr>
            <w:r>
              <w:rPr>
                <w:rFonts w:ascii="Times New Roman" w:hAnsi="Times New Roman" w:cs="Times New Roman"/>
                <w:sz w:val="28"/>
                <w:szCs w:val="28"/>
              </w:rPr>
              <w:t>20</w:t>
            </w:r>
          </w:p>
        </w:tc>
        <w:tc>
          <w:tcPr>
            <w:tcW w:w="2095" w:type="dxa"/>
          </w:tcPr>
          <w:p w14:paraId="124F0E39" w14:textId="5AF07546" w:rsidR="007A7231" w:rsidRPr="00A723AB" w:rsidRDefault="00404E5F" w:rsidP="007A7231">
            <w:pPr>
              <w:pStyle w:val="ac"/>
              <w:jc w:val="both"/>
              <w:rPr>
                <w:rFonts w:ascii="Times New Roman" w:hAnsi="Times New Roman" w:cs="Times New Roman"/>
                <w:sz w:val="28"/>
                <w:szCs w:val="28"/>
              </w:rPr>
            </w:pPr>
            <w:r>
              <w:rPr>
                <w:rFonts w:ascii="Times New Roman" w:hAnsi="Times New Roman" w:cs="Times New Roman"/>
                <w:sz w:val="28"/>
                <w:szCs w:val="28"/>
              </w:rPr>
              <w:t>20</w:t>
            </w:r>
          </w:p>
        </w:tc>
      </w:tr>
    </w:tbl>
    <w:p w14:paraId="70900885" w14:textId="77777777" w:rsidR="00D15137" w:rsidRDefault="00D15137" w:rsidP="00413BF9">
      <w:pPr>
        <w:pStyle w:val="ac"/>
        <w:jc w:val="both"/>
        <w:rPr>
          <w:rFonts w:ascii="Times New Roman" w:hAnsi="Times New Roman" w:cs="Times New Roman"/>
          <w:b/>
          <w:bCs/>
          <w:sz w:val="28"/>
          <w:szCs w:val="28"/>
        </w:rPr>
      </w:pPr>
    </w:p>
    <w:p w14:paraId="59E8CECF" w14:textId="7EAB0201" w:rsidR="00404E5F" w:rsidRPr="00A723AB" w:rsidRDefault="00404E5F" w:rsidP="00404E5F">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Галузь (сектор) для публічного інвестування – </w:t>
      </w:r>
      <w:r>
        <w:rPr>
          <w:rFonts w:ascii="Times New Roman" w:hAnsi="Times New Roman" w:cs="Times New Roman"/>
          <w:b/>
          <w:bCs/>
          <w:sz w:val="28"/>
          <w:szCs w:val="28"/>
          <w:u w:val="single"/>
        </w:rPr>
        <w:t>культура та інформація</w:t>
      </w:r>
    </w:p>
    <w:p w14:paraId="5352B2CA" w14:textId="77777777" w:rsidR="00404E5F" w:rsidRDefault="00404E5F" w:rsidP="00404E5F">
      <w:pPr>
        <w:pStyle w:val="ac"/>
        <w:jc w:val="both"/>
        <w:rPr>
          <w:rFonts w:ascii="Times New Roman" w:hAnsi="Times New Roman" w:cs="Times New Roman"/>
          <w:sz w:val="28"/>
          <w:szCs w:val="28"/>
        </w:rPr>
      </w:pPr>
      <w:r w:rsidRPr="00A723AB">
        <w:rPr>
          <w:rFonts w:ascii="Times New Roman" w:hAnsi="Times New Roman" w:cs="Times New Roman"/>
          <w:sz w:val="28"/>
          <w:szCs w:val="28"/>
        </w:rPr>
        <w:t>Головний розпорядник коштів місцевого бюджету, відповідальний за галузь (сектор) для публічного інвестування</w:t>
      </w:r>
      <w:r>
        <w:rPr>
          <w:rFonts w:ascii="Times New Roman" w:hAnsi="Times New Roman" w:cs="Times New Roman"/>
          <w:sz w:val="28"/>
          <w:szCs w:val="28"/>
        </w:rPr>
        <w:t xml:space="preserve"> -</w:t>
      </w:r>
      <w:r w:rsidRPr="00D15137">
        <w:t xml:space="preserve"> </w:t>
      </w:r>
      <w:r w:rsidRPr="00D15137">
        <w:rPr>
          <w:rFonts w:ascii="Times New Roman" w:hAnsi="Times New Roman" w:cs="Times New Roman"/>
          <w:sz w:val="28"/>
          <w:szCs w:val="28"/>
        </w:rPr>
        <w:t>Управління містобудування та архітектури Білозірської сільської ради</w:t>
      </w:r>
      <w:r>
        <w:rPr>
          <w:rFonts w:ascii="Times New Roman" w:hAnsi="Times New Roman" w:cs="Times New Roman"/>
          <w:sz w:val="28"/>
          <w:szCs w:val="28"/>
        </w:rPr>
        <w:t>.</w:t>
      </w:r>
    </w:p>
    <w:p w14:paraId="26A1D630" w14:textId="6E3D55BC" w:rsidR="00404E5F" w:rsidRDefault="00404E5F" w:rsidP="00404E5F">
      <w:pPr>
        <w:pStyle w:val="ac"/>
        <w:jc w:val="both"/>
        <w:rPr>
          <w:rFonts w:ascii="Times New Roman" w:hAnsi="Times New Roman" w:cs="Times New Roman"/>
          <w:sz w:val="28"/>
          <w:szCs w:val="28"/>
        </w:rPr>
      </w:pPr>
      <w:r w:rsidRPr="00A723AB">
        <w:rPr>
          <w:rFonts w:ascii="Times New Roman" w:hAnsi="Times New Roman" w:cs="Times New Roman"/>
          <w:sz w:val="28"/>
          <w:szCs w:val="28"/>
        </w:rPr>
        <w:t xml:space="preserve">Граничний сукупний обсяг публічних інвестицій на середньостроковий період – </w:t>
      </w:r>
      <w:r>
        <w:rPr>
          <w:rFonts w:ascii="Times New Roman" w:hAnsi="Times New Roman" w:cs="Times New Roman"/>
          <w:sz w:val="28"/>
          <w:szCs w:val="28"/>
        </w:rPr>
        <w:t>1</w:t>
      </w:r>
      <w:r w:rsidR="00F920A0">
        <w:rPr>
          <w:rFonts w:ascii="Times New Roman" w:hAnsi="Times New Roman" w:cs="Times New Roman"/>
          <w:sz w:val="28"/>
          <w:szCs w:val="28"/>
        </w:rPr>
        <w:t>0</w:t>
      </w:r>
      <w:r>
        <w:rPr>
          <w:rFonts w:ascii="Times New Roman" w:hAnsi="Times New Roman" w:cs="Times New Roman"/>
          <w:sz w:val="28"/>
          <w:szCs w:val="28"/>
        </w:rPr>
        <w:t>00,0</w:t>
      </w:r>
      <w:r w:rsidRPr="00A723AB">
        <w:rPr>
          <w:rFonts w:ascii="Times New Roman" w:hAnsi="Times New Roman" w:cs="Times New Roman"/>
          <w:sz w:val="28"/>
          <w:szCs w:val="28"/>
        </w:rPr>
        <w:t xml:space="preserve"> тис.</w:t>
      </w:r>
      <w:r>
        <w:rPr>
          <w:rFonts w:ascii="Times New Roman" w:hAnsi="Times New Roman" w:cs="Times New Roman"/>
          <w:sz w:val="28"/>
          <w:szCs w:val="28"/>
        </w:rPr>
        <w:t xml:space="preserve"> </w:t>
      </w:r>
      <w:r w:rsidRPr="00A723AB">
        <w:rPr>
          <w:rFonts w:ascii="Times New Roman" w:hAnsi="Times New Roman" w:cs="Times New Roman"/>
          <w:sz w:val="28"/>
          <w:szCs w:val="28"/>
        </w:rPr>
        <w:t>грн.</w:t>
      </w:r>
    </w:p>
    <w:p w14:paraId="29A2AB02" w14:textId="77777777" w:rsidR="00404E5F" w:rsidRDefault="00404E5F" w:rsidP="00404E5F">
      <w:pPr>
        <w:pStyle w:val="ac"/>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63"/>
        <w:gridCol w:w="2696"/>
        <w:gridCol w:w="2071"/>
        <w:gridCol w:w="2021"/>
        <w:gridCol w:w="1956"/>
        <w:gridCol w:w="2026"/>
        <w:gridCol w:w="2095"/>
      </w:tblGrid>
      <w:tr w:rsidR="00404E5F" w14:paraId="17539BC2" w14:textId="77777777" w:rsidTr="00B72A57">
        <w:tc>
          <w:tcPr>
            <w:tcW w:w="2263" w:type="dxa"/>
          </w:tcPr>
          <w:p w14:paraId="60872EB6" w14:textId="77777777" w:rsidR="00404E5F" w:rsidRPr="00A723AB" w:rsidRDefault="00404E5F" w:rsidP="00B72A57">
            <w:pPr>
              <w:pStyle w:val="ac"/>
              <w:jc w:val="both"/>
              <w:rPr>
                <w:rFonts w:ascii="Times New Roman" w:hAnsi="Times New Roman" w:cs="Times New Roman"/>
                <w:sz w:val="28"/>
                <w:szCs w:val="28"/>
              </w:rPr>
            </w:pPr>
            <w:proofErr w:type="spellStart"/>
            <w:r w:rsidRPr="00690508">
              <w:rPr>
                <w:rFonts w:ascii="Times New Roman" w:hAnsi="Times New Roman" w:cs="Times New Roman"/>
                <w:sz w:val="28"/>
                <w:szCs w:val="28"/>
              </w:rPr>
              <w:t>Підсектор</w:t>
            </w:r>
            <w:proofErr w:type="spellEnd"/>
            <w:r w:rsidRPr="00690508">
              <w:rPr>
                <w:rFonts w:ascii="Times New Roman" w:hAnsi="Times New Roman" w:cs="Times New Roman"/>
                <w:sz w:val="28"/>
                <w:szCs w:val="28"/>
              </w:rPr>
              <w:t xml:space="preserve"> галузі (сектору) для публічного інвестування</w:t>
            </w:r>
          </w:p>
        </w:tc>
        <w:tc>
          <w:tcPr>
            <w:tcW w:w="2696" w:type="dxa"/>
          </w:tcPr>
          <w:p w14:paraId="3D17E4CB"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Основний напрям публічного інвестування</w:t>
            </w:r>
          </w:p>
        </w:tc>
        <w:tc>
          <w:tcPr>
            <w:tcW w:w="2071" w:type="dxa"/>
          </w:tcPr>
          <w:p w14:paraId="58B11011"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Найменування цільового показника</w:t>
            </w:r>
          </w:p>
        </w:tc>
        <w:tc>
          <w:tcPr>
            <w:tcW w:w="2021" w:type="dxa"/>
          </w:tcPr>
          <w:p w14:paraId="1BC25197"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Базове значення (%)</w:t>
            </w:r>
          </w:p>
        </w:tc>
        <w:tc>
          <w:tcPr>
            <w:tcW w:w="1956" w:type="dxa"/>
          </w:tcPr>
          <w:p w14:paraId="08C0D989"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2027 р. (%</w:t>
            </w:r>
          </w:p>
        </w:tc>
        <w:tc>
          <w:tcPr>
            <w:tcW w:w="2026" w:type="dxa"/>
          </w:tcPr>
          <w:p w14:paraId="696621C7"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8</w:t>
            </w:r>
            <w:r w:rsidRPr="00690508">
              <w:rPr>
                <w:rFonts w:ascii="Times New Roman" w:hAnsi="Times New Roman" w:cs="Times New Roman"/>
                <w:sz w:val="28"/>
                <w:szCs w:val="28"/>
              </w:rPr>
              <w:t xml:space="preserve"> р. (%</w:t>
            </w:r>
          </w:p>
        </w:tc>
        <w:tc>
          <w:tcPr>
            <w:tcW w:w="2095" w:type="dxa"/>
          </w:tcPr>
          <w:p w14:paraId="0E2AB44D" w14:textId="77777777" w:rsidR="00404E5F" w:rsidRPr="00A723AB" w:rsidRDefault="00404E5F" w:rsidP="00B72A57">
            <w:pPr>
              <w:pStyle w:val="ac"/>
              <w:jc w:val="both"/>
              <w:rPr>
                <w:rFonts w:ascii="Times New Roman" w:hAnsi="Times New Roman" w:cs="Times New Roman"/>
                <w:sz w:val="28"/>
                <w:szCs w:val="28"/>
              </w:rPr>
            </w:pPr>
            <w:r w:rsidRPr="00690508">
              <w:rPr>
                <w:rFonts w:ascii="Times New Roman" w:hAnsi="Times New Roman" w:cs="Times New Roman"/>
                <w:sz w:val="28"/>
                <w:szCs w:val="28"/>
              </w:rPr>
              <w:t>Планове значення на 202</w:t>
            </w:r>
            <w:r>
              <w:rPr>
                <w:rFonts w:ascii="Times New Roman" w:hAnsi="Times New Roman" w:cs="Times New Roman"/>
                <w:sz w:val="28"/>
                <w:szCs w:val="28"/>
              </w:rPr>
              <w:t>9</w:t>
            </w:r>
            <w:r w:rsidRPr="00690508">
              <w:rPr>
                <w:rFonts w:ascii="Times New Roman" w:hAnsi="Times New Roman" w:cs="Times New Roman"/>
                <w:sz w:val="28"/>
                <w:szCs w:val="28"/>
              </w:rPr>
              <w:t xml:space="preserve"> р. (%</w:t>
            </w:r>
          </w:p>
        </w:tc>
      </w:tr>
      <w:tr w:rsidR="00404E5F" w14:paraId="44A96005" w14:textId="77777777" w:rsidTr="00B72A57">
        <w:tc>
          <w:tcPr>
            <w:tcW w:w="2263" w:type="dxa"/>
          </w:tcPr>
          <w:p w14:paraId="7D8B1446" w14:textId="1FFE7532" w:rsidR="00404E5F" w:rsidRPr="00A723AB" w:rsidRDefault="0032726A" w:rsidP="00B72A57">
            <w:pPr>
              <w:pStyle w:val="ac"/>
              <w:jc w:val="both"/>
              <w:rPr>
                <w:rFonts w:ascii="Times New Roman" w:hAnsi="Times New Roman" w:cs="Times New Roman"/>
                <w:sz w:val="28"/>
                <w:szCs w:val="28"/>
              </w:rPr>
            </w:pPr>
            <w:r>
              <w:rPr>
                <w:rFonts w:ascii="Times New Roman" w:hAnsi="Times New Roman" w:cs="Times New Roman"/>
                <w:sz w:val="28"/>
                <w:szCs w:val="28"/>
              </w:rPr>
              <w:t>Забезпечення діяльності клубних заходів</w:t>
            </w:r>
          </w:p>
        </w:tc>
        <w:tc>
          <w:tcPr>
            <w:tcW w:w="2696" w:type="dxa"/>
          </w:tcPr>
          <w:p w14:paraId="5B95C77A" w14:textId="3BC1B88C" w:rsidR="00404E5F" w:rsidRPr="00A723AB" w:rsidRDefault="0032726A" w:rsidP="00B72A57">
            <w:pPr>
              <w:pStyle w:val="ac"/>
              <w:jc w:val="both"/>
              <w:rPr>
                <w:rFonts w:ascii="Times New Roman" w:hAnsi="Times New Roman" w:cs="Times New Roman"/>
                <w:sz w:val="28"/>
                <w:szCs w:val="28"/>
              </w:rPr>
            </w:pPr>
            <w:r w:rsidRPr="0032726A">
              <w:rPr>
                <w:rFonts w:ascii="Times New Roman" w:hAnsi="Times New Roman" w:cs="Times New Roman"/>
                <w:sz w:val="28"/>
                <w:szCs w:val="28"/>
              </w:rPr>
              <w:t xml:space="preserve">Модернізація та покращення базової інфраструктури </w:t>
            </w:r>
            <w:proofErr w:type="spellStart"/>
            <w:r w:rsidRPr="0032726A">
              <w:rPr>
                <w:rFonts w:ascii="Times New Roman" w:hAnsi="Times New Roman" w:cs="Times New Roman"/>
                <w:sz w:val="28"/>
                <w:szCs w:val="28"/>
              </w:rPr>
              <w:t>культурно-дозвіллєвих</w:t>
            </w:r>
            <w:proofErr w:type="spellEnd"/>
            <w:r w:rsidRPr="0032726A">
              <w:rPr>
                <w:rFonts w:ascii="Times New Roman" w:hAnsi="Times New Roman" w:cs="Times New Roman"/>
                <w:sz w:val="28"/>
                <w:szCs w:val="28"/>
              </w:rPr>
              <w:t xml:space="preserve"> об'єктів для забезпечення їхньої безпеки та стійкості</w:t>
            </w:r>
          </w:p>
        </w:tc>
        <w:tc>
          <w:tcPr>
            <w:tcW w:w="2071" w:type="dxa"/>
          </w:tcPr>
          <w:p w14:paraId="1C126B83" w14:textId="27F0A2CA" w:rsidR="00404E5F" w:rsidRPr="00A723AB" w:rsidRDefault="00F920A0" w:rsidP="00B72A57">
            <w:pPr>
              <w:pStyle w:val="ac"/>
              <w:jc w:val="both"/>
              <w:rPr>
                <w:rFonts w:ascii="Times New Roman" w:hAnsi="Times New Roman" w:cs="Times New Roman"/>
                <w:sz w:val="28"/>
                <w:szCs w:val="28"/>
              </w:rPr>
            </w:pPr>
            <w:r w:rsidRPr="00F920A0">
              <w:rPr>
                <w:rFonts w:ascii="Times New Roman" w:hAnsi="Times New Roman" w:cs="Times New Roman"/>
                <w:sz w:val="28"/>
                <w:szCs w:val="28"/>
              </w:rPr>
              <w:t>Частка закладів культури, обладнаних системами пожежної сигналізації</w:t>
            </w:r>
          </w:p>
        </w:tc>
        <w:tc>
          <w:tcPr>
            <w:tcW w:w="2021" w:type="dxa"/>
          </w:tcPr>
          <w:p w14:paraId="09B3526A" w14:textId="77777777" w:rsidR="00404E5F" w:rsidRPr="00A723AB" w:rsidRDefault="00404E5F" w:rsidP="00B72A57">
            <w:pPr>
              <w:pStyle w:val="ac"/>
              <w:jc w:val="both"/>
              <w:rPr>
                <w:rFonts w:ascii="Times New Roman" w:hAnsi="Times New Roman" w:cs="Times New Roman"/>
                <w:sz w:val="28"/>
                <w:szCs w:val="28"/>
              </w:rPr>
            </w:pPr>
            <w:r>
              <w:rPr>
                <w:rFonts w:ascii="Times New Roman" w:hAnsi="Times New Roman" w:cs="Times New Roman"/>
                <w:sz w:val="28"/>
                <w:szCs w:val="28"/>
              </w:rPr>
              <w:t>0</w:t>
            </w:r>
          </w:p>
        </w:tc>
        <w:tc>
          <w:tcPr>
            <w:tcW w:w="1956" w:type="dxa"/>
          </w:tcPr>
          <w:p w14:paraId="3F6D6D79" w14:textId="77777777" w:rsidR="00404E5F" w:rsidRPr="00A723AB" w:rsidRDefault="00404E5F" w:rsidP="00B72A57">
            <w:pPr>
              <w:pStyle w:val="ac"/>
              <w:jc w:val="both"/>
              <w:rPr>
                <w:rFonts w:ascii="Times New Roman" w:hAnsi="Times New Roman" w:cs="Times New Roman"/>
                <w:sz w:val="28"/>
                <w:szCs w:val="28"/>
              </w:rPr>
            </w:pPr>
            <w:r>
              <w:rPr>
                <w:rFonts w:ascii="Times New Roman" w:hAnsi="Times New Roman" w:cs="Times New Roman"/>
                <w:sz w:val="28"/>
                <w:szCs w:val="28"/>
              </w:rPr>
              <w:t>0</w:t>
            </w:r>
          </w:p>
        </w:tc>
        <w:tc>
          <w:tcPr>
            <w:tcW w:w="2026" w:type="dxa"/>
          </w:tcPr>
          <w:p w14:paraId="640D80F0" w14:textId="43EF0B55" w:rsidR="00404E5F" w:rsidRPr="00A723AB" w:rsidRDefault="00F920A0" w:rsidP="00B72A57">
            <w:pPr>
              <w:pStyle w:val="ac"/>
              <w:jc w:val="both"/>
              <w:rPr>
                <w:rFonts w:ascii="Times New Roman" w:hAnsi="Times New Roman" w:cs="Times New Roman"/>
                <w:sz w:val="28"/>
                <w:szCs w:val="28"/>
              </w:rPr>
            </w:pPr>
            <w:r>
              <w:rPr>
                <w:rFonts w:ascii="Times New Roman" w:hAnsi="Times New Roman" w:cs="Times New Roman"/>
                <w:sz w:val="28"/>
                <w:szCs w:val="28"/>
              </w:rPr>
              <w:t>0</w:t>
            </w:r>
          </w:p>
        </w:tc>
        <w:tc>
          <w:tcPr>
            <w:tcW w:w="2095" w:type="dxa"/>
          </w:tcPr>
          <w:p w14:paraId="75186A0D" w14:textId="736753EF" w:rsidR="00404E5F" w:rsidRPr="00A723AB" w:rsidRDefault="00F920A0" w:rsidP="00B72A57">
            <w:pPr>
              <w:pStyle w:val="ac"/>
              <w:jc w:val="both"/>
              <w:rPr>
                <w:rFonts w:ascii="Times New Roman" w:hAnsi="Times New Roman" w:cs="Times New Roman"/>
                <w:sz w:val="28"/>
                <w:szCs w:val="28"/>
              </w:rPr>
            </w:pPr>
            <w:r>
              <w:rPr>
                <w:rFonts w:ascii="Times New Roman" w:hAnsi="Times New Roman" w:cs="Times New Roman"/>
                <w:sz w:val="28"/>
                <w:szCs w:val="28"/>
              </w:rPr>
              <w:t>33</w:t>
            </w:r>
          </w:p>
        </w:tc>
      </w:tr>
    </w:tbl>
    <w:p w14:paraId="1E6198EC" w14:textId="77777777" w:rsidR="00010990" w:rsidRPr="001E3B82" w:rsidRDefault="00010990" w:rsidP="00413BF9">
      <w:pPr>
        <w:pStyle w:val="ac"/>
        <w:jc w:val="both"/>
        <w:rPr>
          <w:rFonts w:ascii="Times New Roman" w:hAnsi="Times New Roman" w:cs="Times New Roman"/>
          <w:b/>
          <w:bCs/>
          <w:sz w:val="28"/>
          <w:szCs w:val="28"/>
          <w:lang w:val="en-US"/>
        </w:rPr>
      </w:pPr>
    </w:p>
    <w:p w14:paraId="6DF4EDC5" w14:textId="77777777" w:rsidR="00010990" w:rsidRDefault="00010990" w:rsidP="00413BF9">
      <w:pPr>
        <w:pStyle w:val="ac"/>
        <w:jc w:val="both"/>
        <w:rPr>
          <w:rFonts w:ascii="Times New Roman" w:hAnsi="Times New Roman" w:cs="Times New Roman"/>
          <w:b/>
          <w:bCs/>
          <w:sz w:val="28"/>
          <w:szCs w:val="28"/>
        </w:rPr>
      </w:pPr>
    </w:p>
    <w:p w14:paraId="6C60FE77" w14:textId="7B9BE17C" w:rsidR="00010990" w:rsidRPr="0000633E" w:rsidRDefault="0000633E" w:rsidP="00413BF9">
      <w:pPr>
        <w:pStyle w:val="ac"/>
        <w:jc w:val="both"/>
        <w:rPr>
          <w:rFonts w:ascii="Times New Roman" w:hAnsi="Times New Roman" w:cs="Times New Roman"/>
          <w:bCs/>
          <w:sz w:val="28"/>
          <w:szCs w:val="28"/>
        </w:rPr>
      </w:pPr>
      <w:r w:rsidRPr="0000633E">
        <w:rPr>
          <w:rFonts w:ascii="Times New Roman" w:hAnsi="Times New Roman" w:cs="Times New Roman"/>
          <w:bCs/>
          <w:sz w:val="28"/>
          <w:szCs w:val="28"/>
        </w:rPr>
        <w:t xml:space="preserve">Секретар сільської ради, виконкому                                      </w:t>
      </w:r>
      <w:r>
        <w:rPr>
          <w:rFonts w:ascii="Times New Roman" w:hAnsi="Times New Roman" w:cs="Times New Roman"/>
          <w:bCs/>
          <w:sz w:val="28"/>
          <w:szCs w:val="28"/>
        </w:rPr>
        <w:t xml:space="preserve">                       </w:t>
      </w:r>
      <w:bookmarkStart w:id="0" w:name="_GoBack"/>
      <w:bookmarkEnd w:id="0"/>
      <w:r w:rsidRPr="0000633E">
        <w:rPr>
          <w:rFonts w:ascii="Times New Roman" w:hAnsi="Times New Roman" w:cs="Times New Roman"/>
          <w:bCs/>
          <w:sz w:val="28"/>
          <w:szCs w:val="28"/>
        </w:rPr>
        <w:t xml:space="preserve">                                   Тетяна ДІБРОВА</w:t>
      </w:r>
    </w:p>
    <w:sectPr w:rsidR="00010990" w:rsidRPr="0000633E" w:rsidSect="00A6499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5945"/>
    <w:multiLevelType w:val="multilevel"/>
    <w:tmpl w:val="F5F4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5D"/>
    <w:rsid w:val="0000633E"/>
    <w:rsid w:val="00010990"/>
    <w:rsid w:val="00010E64"/>
    <w:rsid w:val="000275DF"/>
    <w:rsid w:val="000335ED"/>
    <w:rsid w:val="000365EB"/>
    <w:rsid w:val="00043275"/>
    <w:rsid w:val="000D5D27"/>
    <w:rsid w:val="00132F76"/>
    <w:rsid w:val="00134151"/>
    <w:rsid w:val="001A2C77"/>
    <w:rsid w:val="001B35CA"/>
    <w:rsid w:val="001C4DAE"/>
    <w:rsid w:val="001E3B82"/>
    <w:rsid w:val="0021188A"/>
    <w:rsid w:val="00254B7E"/>
    <w:rsid w:val="00280365"/>
    <w:rsid w:val="002F1995"/>
    <w:rsid w:val="002F5732"/>
    <w:rsid w:val="0030646B"/>
    <w:rsid w:val="0032726A"/>
    <w:rsid w:val="00332DA4"/>
    <w:rsid w:val="003D1372"/>
    <w:rsid w:val="003F27A1"/>
    <w:rsid w:val="00404E5F"/>
    <w:rsid w:val="00413BF9"/>
    <w:rsid w:val="004311E4"/>
    <w:rsid w:val="00433428"/>
    <w:rsid w:val="00443602"/>
    <w:rsid w:val="0044377F"/>
    <w:rsid w:val="00516E89"/>
    <w:rsid w:val="00576098"/>
    <w:rsid w:val="00594285"/>
    <w:rsid w:val="005A03C3"/>
    <w:rsid w:val="005C38BB"/>
    <w:rsid w:val="005F6988"/>
    <w:rsid w:val="006045D3"/>
    <w:rsid w:val="00616741"/>
    <w:rsid w:val="00630E60"/>
    <w:rsid w:val="00690508"/>
    <w:rsid w:val="006B7DBB"/>
    <w:rsid w:val="006D362A"/>
    <w:rsid w:val="006D58C8"/>
    <w:rsid w:val="007812E1"/>
    <w:rsid w:val="00782D85"/>
    <w:rsid w:val="007A7231"/>
    <w:rsid w:val="007B206F"/>
    <w:rsid w:val="0080145D"/>
    <w:rsid w:val="008A16EF"/>
    <w:rsid w:val="008D5671"/>
    <w:rsid w:val="00916249"/>
    <w:rsid w:val="0097677C"/>
    <w:rsid w:val="00986F67"/>
    <w:rsid w:val="009964B5"/>
    <w:rsid w:val="009B7D4E"/>
    <w:rsid w:val="009C4D41"/>
    <w:rsid w:val="00A12590"/>
    <w:rsid w:val="00A1365B"/>
    <w:rsid w:val="00A22511"/>
    <w:rsid w:val="00A45B3B"/>
    <w:rsid w:val="00A538DF"/>
    <w:rsid w:val="00A6499B"/>
    <w:rsid w:val="00A723AB"/>
    <w:rsid w:val="00AB7EC1"/>
    <w:rsid w:val="00AC356C"/>
    <w:rsid w:val="00B120BC"/>
    <w:rsid w:val="00B2252B"/>
    <w:rsid w:val="00B3300B"/>
    <w:rsid w:val="00B34893"/>
    <w:rsid w:val="00B72A57"/>
    <w:rsid w:val="00BD21DD"/>
    <w:rsid w:val="00BD72C4"/>
    <w:rsid w:val="00BE4CDB"/>
    <w:rsid w:val="00BE65F3"/>
    <w:rsid w:val="00BF7D5E"/>
    <w:rsid w:val="00C11300"/>
    <w:rsid w:val="00C43703"/>
    <w:rsid w:val="00C64170"/>
    <w:rsid w:val="00C94AE9"/>
    <w:rsid w:val="00CA3201"/>
    <w:rsid w:val="00CC717F"/>
    <w:rsid w:val="00D15137"/>
    <w:rsid w:val="00D22A60"/>
    <w:rsid w:val="00D85782"/>
    <w:rsid w:val="00D86F60"/>
    <w:rsid w:val="00DD4D5D"/>
    <w:rsid w:val="00DE36F7"/>
    <w:rsid w:val="00DE42DE"/>
    <w:rsid w:val="00E5500A"/>
    <w:rsid w:val="00E828B5"/>
    <w:rsid w:val="00E912AD"/>
    <w:rsid w:val="00EB0CC5"/>
    <w:rsid w:val="00F23E30"/>
    <w:rsid w:val="00F5741F"/>
    <w:rsid w:val="00F920A0"/>
    <w:rsid w:val="00FB2E7A"/>
    <w:rsid w:val="00FE5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5F"/>
  </w:style>
  <w:style w:type="paragraph" w:styleId="1">
    <w:name w:val="heading 1"/>
    <w:basedOn w:val="a"/>
    <w:next w:val="a"/>
    <w:link w:val="10"/>
    <w:uiPriority w:val="9"/>
    <w:qFormat/>
    <w:rsid w:val="00801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1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14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14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14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14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14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14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14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4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14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14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14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14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14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145D"/>
    <w:rPr>
      <w:rFonts w:eastAsiaTheme="majorEastAsia" w:cstheme="majorBidi"/>
      <w:color w:val="595959" w:themeColor="text1" w:themeTint="A6"/>
    </w:rPr>
  </w:style>
  <w:style w:type="character" w:customStyle="1" w:styleId="80">
    <w:name w:val="Заголовок 8 Знак"/>
    <w:basedOn w:val="a0"/>
    <w:link w:val="8"/>
    <w:uiPriority w:val="9"/>
    <w:semiHidden/>
    <w:rsid w:val="008014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145D"/>
    <w:rPr>
      <w:rFonts w:eastAsiaTheme="majorEastAsia" w:cstheme="majorBidi"/>
      <w:color w:val="272727" w:themeColor="text1" w:themeTint="D8"/>
    </w:rPr>
  </w:style>
  <w:style w:type="paragraph" w:styleId="a3">
    <w:name w:val="Title"/>
    <w:basedOn w:val="a"/>
    <w:next w:val="a"/>
    <w:link w:val="a4"/>
    <w:uiPriority w:val="10"/>
    <w:qFormat/>
    <w:rsid w:val="00801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01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4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14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45D"/>
    <w:pPr>
      <w:spacing w:before="160"/>
      <w:jc w:val="center"/>
    </w:pPr>
    <w:rPr>
      <w:i/>
      <w:iCs/>
      <w:color w:val="404040" w:themeColor="text1" w:themeTint="BF"/>
    </w:rPr>
  </w:style>
  <w:style w:type="character" w:customStyle="1" w:styleId="22">
    <w:name w:val="Цитата 2 Знак"/>
    <w:basedOn w:val="a0"/>
    <w:link w:val="21"/>
    <w:uiPriority w:val="29"/>
    <w:rsid w:val="0080145D"/>
    <w:rPr>
      <w:i/>
      <w:iCs/>
      <w:color w:val="404040" w:themeColor="text1" w:themeTint="BF"/>
    </w:rPr>
  </w:style>
  <w:style w:type="paragraph" w:styleId="a7">
    <w:name w:val="List Paragraph"/>
    <w:basedOn w:val="a"/>
    <w:uiPriority w:val="34"/>
    <w:qFormat/>
    <w:rsid w:val="0080145D"/>
    <w:pPr>
      <w:ind w:left="720"/>
      <w:contextualSpacing/>
    </w:pPr>
  </w:style>
  <w:style w:type="character" w:styleId="a8">
    <w:name w:val="Intense Emphasis"/>
    <w:basedOn w:val="a0"/>
    <w:uiPriority w:val="21"/>
    <w:qFormat/>
    <w:rsid w:val="0080145D"/>
    <w:rPr>
      <w:i/>
      <w:iCs/>
      <w:color w:val="0F4761" w:themeColor="accent1" w:themeShade="BF"/>
    </w:rPr>
  </w:style>
  <w:style w:type="paragraph" w:styleId="a9">
    <w:name w:val="Intense Quote"/>
    <w:basedOn w:val="a"/>
    <w:next w:val="a"/>
    <w:link w:val="aa"/>
    <w:uiPriority w:val="30"/>
    <w:qFormat/>
    <w:rsid w:val="00801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145D"/>
    <w:rPr>
      <w:i/>
      <w:iCs/>
      <w:color w:val="0F4761" w:themeColor="accent1" w:themeShade="BF"/>
    </w:rPr>
  </w:style>
  <w:style w:type="character" w:styleId="ab">
    <w:name w:val="Intense Reference"/>
    <w:basedOn w:val="a0"/>
    <w:uiPriority w:val="32"/>
    <w:qFormat/>
    <w:rsid w:val="0080145D"/>
    <w:rPr>
      <w:b/>
      <w:bCs/>
      <w:smallCaps/>
      <w:color w:val="0F4761" w:themeColor="accent1" w:themeShade="BF"/>
      <w:spacing w:val="5"/>
    </w:rPr>
  </w:style>
  <w:style w:type="paragraph" w:styleId="ac">
    <w:name w:val="No Spacing"/>
    <w:uiPriority w:val="1"/>
    <w:qFormat/>
    <w:rsid w:val="00B3300B"/>
    <w:pPr>
      <w:spacing w:after="0" w:line="240" w:lineRule="auto"/>
    </w:pPr>
  </w:style>
  <w:style w:type="paragraph" w:styleId="ad">
    <w:name w:val="Normal (Web)"/>
    <w:basedOn w:val="a"/>
    <w:uiPriority w:val="99"/>
    <w:semiHidden/>
    <w:unhideWhenUsed/>
    <w:rsid w:val="00916249"/>
    <w:rPr>
      <w:rFonts w:ascii="Times New Roman" w:hAnsi="Times New Roman" w:cs="Times New Roman"/>
    </w:rPr>
  </w:style>
  <w:style w:type="table" w:styleId="ae">
    <w:name w:val="Table Grid"/>
    <w:basedOn w:val="a1"/>
    <w:uiPriority w:val="39"/>
    <w:rsid w:val="00C43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5F"/>
  </w:style>
  <w:style w:type="paragraph" w:styleId="1">
    <w:name w:val="heading 1"/>
    <w:basedOn w:val="a"/>
    <w:next w:val="a"/>
    <w:link w:val="10"/>
    <w:uiPriority w:val="9"/>
    <w:qFormat/>
    <w:rsid w:val="00801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1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14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14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14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14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14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14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14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4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14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14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14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14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14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145D"/>
    <w:rPr>
      <w:rFonts w:eastAsiaTheme="majorEastAsia" w:cstheme="majorBidi"/>
      <w:color w:val="595959" w:themeColor="text1" w:themeTint="A6"/>
    </w:rPr>
  </w:style>
  <w:style w:type="character" w:customStyle="1" w:styleId="80">
    <w:name w:val="Заголовок 8 Знак"/>
    <w:basedOn w:val="a0"/>
    <w:link w:val="8"/>
    <w:uiPriority w:val="9"/>
    <w:semiHidden/>
    <w:rsid w:val="008014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145D"/>
    <w:rPr>
      <w:rFonts w:eastAsiaTheme="majorEastAsia" w:cstheme="majorBidi"/>
      <w:color w:val="272727" w:themeColor="text1" w:themeTint="D8"/>
    </w:rPr>
  </w:style>
  <w:style w:type="paragraph" w:styleId="a3">
    <w:name w:val="Title"/>
    <w:basedOn w:val="a"/>
    <w:next w:val="a"/>
    <w:link w:val="a4"/>
    <w:uiPriority w:val="10"/>
    <w:qFormat/>
    <w:rsid w:val="00801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01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4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14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45D"/>
    <w:pPr>
      <w:spacing w:before="160"/>
      <w:jc w:val="center"/>
    </w:pPr>
    <w:rPr>
      <w:i/>
      <w:iCs/>
      <w:color w:val="404040" w:themeColor="text1" w:themeTint="BF"/>
    </w:rPr>
  </w:style>
  <w:style w:type="character" w:customStyle="1" w:styleId="22">
    <w:name w:val="Цитата 2 Знак"/>
    <w:basedOn w:val="a0"/>
    <w:link w:val="21"/>
    <w:uiPriority w:val="29"/>
    <w:rsid w:val="0080145D"/>
    <w:rPr>
      <w:i/>
      <w:iCs/>
      <w:color w:val="404040" w:themeColor="text1" w:themeTint="BF"/>
    </w:rPr>
  </w:style>
  <w:style w:type="paragraph" w:styleId="a7">
    <w:name w:val="List Paragraph"/>
    <w:basedOn w:val="a"/>
    <w:uiPriority w:val="34"/>
    <w:qFormat/>
    <w:rsid w:val="0080145D"/>
    <w:pPr>
      <w:ind w:left="720"/>
      <w:contextualSpacing/>
    </w:pPr>
  </w:style>
  <w:style w:type="character" w:styleId="a8">
    <w:name w:val="Intense Emphasis"/>
    <w:basedOn w:val="a0"/>
    <w:uiPriority w:val="21"/>
    <w:qFormat/>
    <w:rsid w:val="0080145D"/>
    <w:rPr>
      <w:i/>
      <w:iCs/>
      <w:color w:val="0F4761" w:themeColor="accent1" w:themeShade="BF"/>
    </w:rPr>
  </w:style>
  <w:style w:type="paragraph" w:styleId="a9">
    <w:name w:val="Intense Quote"/>
    <w:basedOn w:val="a"/>
    <w:next w:val="a"/>
    <w:link w:val="aa"/>
    <w:uiPriority w:val="30"/>
    <w:qFormat/>
    <w:rsid w:val="00801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145D"/>
    <w:rPr>
      <w:i/>
      <w:iCs/>
      <w:color w:val="0F4761" w:themeColor="accent1" w:themeShade="BF"/>
    </w:rPr>
  </w:style>
  <w:style w:type="character" w:styleId="ab">
    <w:name w:val="Intense Reference"/>
    <w:basedOn w:val="a0"/>
    <w:uiPriority w:val="32"/>
    <w:qFormat/>
    <w:rsid w:val="0080145D"/>
    <w:rPr>
      <w:b/>
      <w:bCs/>
      <w:smallCaps/>
      <w:color w:val="0F4761" w:themeColor="accent1" w:themeShade="BF"/>
      <w:spacing w:val="5"/>
    </w:rPr>
  </w:style>
  <w:style w:type="paragraph" w:styleId="ac">
    <w:name w:val="No Spacing"/>
    <w:uiPriority w:val="1"/>
    <w:qFormat/>
    <w:rsid w:val="00B3300B"/>
    <w:pPr>
      <w:spacing w:after="0" w:line="240" w:lineRule="auto"/>
    </w:pPr>
  </w:style>
  <w:style w:type="paragraph" w:styleId="ad">
    <w:name w:val="Normal (Web)"/>
    <w:basedOn w:val="a"/>
    <w:uiPriority w:val="99"/>
    <w:semiHidden/>
    <w:unhideWhenUsed/>
    <w:rsid w:val="00916249"/>
    <w:rPr>
      <w:rFonts w:ascii="Times New Roman" w:hAnsi="Times New Roman" w:cs="Times New Roman"/>
    </w:rPr>
  </w:style>
  <w:style w:type="table" w:styleId="ae">
    <w:name w:val="Table Grid"/>
    <w:basedOn w:val="a1"/>
    <w:uiPriority w:val="39"/>
    <w:rsid w:val="00C43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15357</Words>
  <Characters>8755</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Fatenko.V</dc:creator>
  <cp:lastModifiedBy>user</cp:lastModifiedBy>
  <cp:revision>4</cp:revision>
  <cp:lastPrinted>2026-07-21T12:15:00Z</cp:lastPrinted>
  <dcterms:created xsi:type="dcterms:W3CDTF">2026-07-21T11:11:00Z</dcterms:created>
  <dcterms:modified xsi:type="dcterms:W3CDTF">2026-07-21T12:29:00Z</dcterms:modified>
</cp:coreProperties>
</file>