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5D" w:rsidRPr="007C578C" w:rsidRDefault="007C578C" w:rsidP="007C578C">
      <w:pPr>
        <w:pStyle w:val="a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</w:t>
      </w:r>
      <w:r w:rsidR="004367B5" w:rsidRPr="007C578C">
        <w:rPr>
          <w:rFonts w:ascii="Times New Roman" w:hAnsi="Times New Roman" w:cs="Times New Roman"/>
          <w:lang w:val="uk-UA"/>
        </w:rPr>
        <w:t>Додаток 3</w:t>
      </w:r>
    </w:p>
    <w:p w:rsidR="007C578C" w:rsidRDefault="004367B5" w:rsidP="007C578C">
      <w:pPr>
        <w:pStyle w:val="a9"/>
        <w:tabs>
          <w:tab w:val="left" w:pos="3969"/>
        </w:tabs>
        <w:spacing w:before="0" w:after="0"/>
        <w:ind w:left="396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C578C">
        <w:rPr>
          <w:rFonts w:ascii="Times New Roman" w:hAnsi="Times New Roman" w:cs="Times New Roman"/>
          <w:b w:val="0"/>
          <w:sz w:val="22"/>
          <w:szCs w:val="22"/>
        </w:rPr>
        <w:t>до  рішення «Про встановлення ставок та пільг із сплати податку на нерухоме майно, відмінне від земельної ділянки на території Білозірської сільської ради на 2022 рік»</w:t>
      </w:r>
    </w:p>
    <w:p w:rsidR="006F475D" w:rsidRPr="007C578C" w:rsidRDefault="004367B5" w:rsidP="007C578C">
      <w:pPr>
        <w:pStyle w:val="a9"/>
        <w:tabs>
          <w:tab w:val="left" w:pos="3969"/>
        </w:tabs>
        <w:spacing w:before="0" w:after="0"/>
        <w:ind w:left="3969"/>
        <w:jc w:val="lef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7C578C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</w:p>
    <w:p w:rsidR="006F475D" w:rsidRPr="004367B5" w:rsidRDefault="004367B5" w:rsidP="004367B5">
      <w:pPr>
        <w:jc w:val="center"/>
        <w:rPr>
          <w:rFonts w:hint="eastAsia"/>
          <w:b/>
          <w:sz w:val="28"/>
          <w:szCs w:val="28"/>
          <w:lang w:val="ru-RU"/>
        </w:rPr>
      </w:pPr>
      <w:r w:rsidRPr="004367B5">
        <w:rPr>
          <w:b/>
          <w:sz w:val="28"/>
          <w:szCs w:val="28"/>
          <w:lang w:val="ru-RU"/>
        </w:rPr>
        <w:t>ПОЛОЖЕННЯ</w:t>
      </w:r>
    </w:p>
    <w:p w:rsidR="006F475D" w:rsidRPr="004367B5" w:rsidRDefault="004367B5" w:rsidP="004367B5">
      <w:pPr>
        <w:pStyle w:val="a6"/>
        <w:jc w:val="center"/>
        <w:rPr>
          <w:rFonts w:hint="eastAsia"/>
          <w:b/>
          <w:i w:val="0"/>
          <w:sz w:val="28"/>
          <w:szCs w:val="28"/>
          <w:lang w:val="ru-RU"/>
        </w:rPr>
      </w:pPr>
      <w:r w:rsidRPr="004367B5">
        <w:rPr>
          <w:b/>
          <w:i w:val="0"/>
          <w:sz w:val="28"/>
          <w:szCs w:val="28"/>
          <w:lang w:val="uk-UA" w:eastAsia="uk-UA"/>
        </w:rPr>
        <w:t xml:space="preserve">про порядок справляння податку на нерухоме майно, відмінне від земельної ділянки </w:t>
      </w:r>
      <w:r w:rsidRPr="004367B5">
        <w:rPr>
          <w:b/>
          <w:i w:val="0"/>
          <w:sz w:val="28"/>
          <w:szCs w:val="28"/>
          <w:lang w:val="ru-RU"/>
        </w:rPr>
        <w:t xml:space="preserve">на </w:t>
      </w:r>
      <w:proofErr w:type="spellStart"/>
      <w:r w:rsidRPr="004367B5">
        <w:rPr>
          <w:b/>
          <w:i w:val="0"/>
          <w:sz w:val="28"/>
          <w:szCs w:val="28"/>
          <w:lang w:val="ru-RU"/>
        </w:rPr>
        <w:t>території</w:t>
      </w:r>
      <w:proofErr w:type="spellEnd"/>
      <w:r w:rsidRPr="004367B5">
        <w:rPr>
          <w:b/>
          <w:i w:val="0"/>
          <w:sz w:val="28"/>
          <w:szCs w:val="28"/>
          <w:lang w:val="ru-RU"/>
        </w:rPr>
        <w:t xml:space="preserve"> </w:t>
      </w:r>
      <w:proofErr w:type="spellStart"/>
      <w:r w:rsidRPr="004367B5">
        <w:rPr>
          <w:b/>
          <w:i w:val="0"/>
          <w:sz w:val="28"/>
          <w:szCs w:val="28"/>
          <w:lang w:val="ru-RU"/>
        </w:rPr>
        <w:t>Білозірської</w:t>
      </w:r>
      <w:proofErr w:type="spellEnd"/>
      <w:r w:rsidRPr="004367B5">
        <w:rPr>
          <w:b/>
          <w:i w:val="0"/>
          <w:sz w:val="28"/>
          <w:szCs w:val="28"/>
          <w:lang w:val="ru-RU"/>
        </w:rPr>
        <w:t xml:space="preserve"> </w:t>
      </w:r>
      <w:proofErr w:type="spellStart"/>
      <w:r w:rsidRPr="004367B5">
        <w:rPr>
          <w:b/>
          <w:i w:val="0"/>
          <w:sz w:val="28"/>
          <w:szCs w:val="28"/>
          <w:lang w:val="ru-RU"/>
        </w:rPr>
        <w:t>сільської</w:t>
      </w:r>
      <w:proofErr w:type="spellEnd"/>
      <w:r w:rsidRPr="004367B5">
        <w:rPr>
          <w:b/>
          <w:i w:val="0"/>
          <w:sz w:val="28"/>
          <w:szCs w:val="28"/>
          <w:lang w:val="ru-RU"/>
        </w:rPr>
        <w:t xml:space="preserve"> ради на 2022 </w:t>
      </w:r>
      <w:proofErr w:type="spellStart"/>
      <w:r w:rsidRPr="004367B5">
        <w:rPr>
          <w:b/>
          <w:i w:val="0"/>
          <w:sz w:val="28"/>
          <w:szCs w:val="28"/>
          <w:lang w:val="ru-RU"/>
        </w:rPr>
        <w:t>рік</w:t>
      </w:r>
      <w:proofErr w:type="spellEnd"/>
    </w:p>
    <w:p w:rsidR="006F475D" w:rsidRDefault="006F475D">
      <w:pPr>
        <w:pStyle w:val="a6"/>
        <w:rPr>
          <w:rFonts w:hint="eastAsia"/>
          <w:lang w:val="uk-UA" w:eastAsia="uk-UA"/>
        </w:rPr>
      </w:pPr>
    </w:p>
    <w:p w:rsidR="006F475D" w:rsidRPr="004367B5" w:rsidRDefault="004367B5" w:rsidP="004367B5">
      <w:pPr>
        <w:pStyle w:val="a6"/>
        <w:ind w:firstLine="567"/>
        <w:jc w:val="center"/>
        <w:rPr>
          <w:rFonts w:hint="eastAsia"/>
          <w:b/>
          <w:i w:val="0"/>
          <w:sz w:val="28"/>
          <w:lang w:val="ru-RU"/>
        </w:rPr>
      </w:pPr>
      <w:r w:rsidRPr="004367B5">
        <w:rPr>
          <w:b/>
          <w:i w:val="0"/>
          <w:sz w:val="28"/>
          <w:lang w:val="ru-RU"/>
        </w:rPr>
        <w:t xml:space="preserve">1.Платники </w:t>
      </w:r>
      <w:proofErr w:type="spellStart"/>
      <w:r w:rsidRPr="004367B5">
        <w:rPr>
          <w:b/>
          <w:i w:val="0"/>
          <w:sz w:val="28"/>
          <w:lang w:val="ru-RU"/>
        </w:rPr>
        <w:t>податку</w:t>
      </w:r>
      <w:proofErr w:type="spellEnd"/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Платниками податку є фізичні та юридичні особи, в тому числі нерезиденти, які є власниками об'єктів житлової та/або нежитлової нерухомості.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Визначення платників податку в разі перебування об'єктів житлової та/або нежитлової нерухомості у спільній частковій або спільній сумісній власності кількох осіб: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якщо об'єкт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якщо об'єкт житлової та/або нежитлової нерухомості перебуває у спільній сумісній власності кількох осіб, але не поділений в натурі, платником податку   є одна з таких осіб-власників, визначена за їх згодою, якщо інше не встановлено судом;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якщо об'єкт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6F475D" w:rsidRDefault="006F475D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Об'єкт оподаткування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2.1.Об'єктом оподаткування є об'єкт житлової та нежитлової нерухомості, в тому числі його частка.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Не є об'єктом оподаткування: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об'єкти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будівлі дитячих будинків сімейного типу;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гуртожитки;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 житлова нерухомість непридатна для проживання, в тому числі у зв'язку з аварійним станом, визнана такою згідно з рішенням  сільської ради;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об'єкти житлової нерухомості, в тому числі їх частки, що належать дітям-сиротам, дітям, позбавленим батьківського піклування, та особам з їх числа, </w:t>
      </w:r>
      <w:r>
        <w:rPr>
          <w:rFonts w:ascii="Times New Roman" w:hAnsi="Times New Roman" w:cs="Times New Roman"/>
          <w:sz w:val="28"/>
          <w:szCs w:val="28"/>
        </w:rPr>
        <w:lastRenderedPageBreak/>
        <w:t>визнаним такими відповідно до закону, дітям-інвалідам, які виховуються одинокими матерями (батьками), але не більше одного такого об'єкта на дитину;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об'єкти нежитлової нерухомості, які використовуються суб'єктами господарювання малого та середнього бізнесу, що провадять свою діяльність в тимчасових спорудах та на ринках;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є) будівлі промисловості, зокрема виробничі корпуси, цехи, складські приміщення промислових підприємств;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будівлі, споруди сільськогосподарських товаровиробників (юридичних та фізичних осіб), віднесені до класу "Будівлі сільськогосподарського призначення, лісівництва та рибного господарства" (код 1271) Державного класифікатора будівель та споруд ДК 018-2000, та не здаються їх власниками в оренду, лізинг, позичку;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об'єкти житлової та нежитлової нерухомості, які перебувають у власності громадських організацій інвалідів та їх підприємств;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і) будівлі дошкільних та загальноосвітніх навчальних закладів незалежно від форми власності та джерел фінансування, що використовуються  для надання освітніх послуг;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й) господарські (присадибні) будівлі,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тощо, які використовуються за цільовим призначенням;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об’єкти житлової нерухомості, які належать багатодітним або прийомним сім’ям, у яких виховується п’ять та більше дітей.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об’єкти житлової нерухомості, які належать  учасникам АТО або сім'ям загиблих учасників.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База оподаткування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Базою оподаткування є загальна площа об'єкта житлової та нежитлової нерухомості, в тому числі його часток.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База оподаткування об'єктів житлової та нежитлової нерухомості,                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База оподаткування об'єктів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об'єкта оподаткування на підставі документів, що підтверджують право власності на такий об'єкт.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Пільги із сплати податку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База оподаткування об'єкта/об'єктів житлової нерухомості, в тому числі   їх часток, що перебувають у власності фізичної особи платника податку, зменшується: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квартири/квартир незалежно від їх кількості - на 60 кв. метрів;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житлового будинку/будинків незалежно від їх кількості - на 120 кв. метрів;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різних типів об'єктів житлової нерухомості, в тому числі їх часток           (у разі одночасного перебування у власності платника податку квартири/квартир та житлового будинку/будинків, у тому числі їх часток), -     на 180 кв. метрів.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Таке зменшення надається один раз за кожний базовий податковий (звітний) період (рік).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Податковий період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Базовий податковий (звітний) період дорівнює календарному року.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обчислення суми податку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Обчислення суми податку з об'єкта/об'єктів житлової нерухомості,             які перебувають у власності фізичних осіб, здійснюється у такому порядку: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наявності у власності платника податку одного об'єкта житлової нерухомості, в тому числі його частки, податок обчислюється, виходячи              з бази оподаткування, зменшеної відповідно до підпунктів "а" або "б" пункту 4 цього Положення;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наявності у власності платника податку більше одного об'єкта житлової нерухомості одного типу, в тому числі їх часток, податок обчислюється виходячи із сумарної загальної площі таких об'єктів зменшеної відповідно         до підпунктів "а" або "б" пункту 4 цього Положення;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наявності у власності платника податку об'єктів житлової нерухомості різних видів, у тому числі їх часток, податок обчислюється виходячи                  із сумарної загальної площі таких об'єктів, зменшеної відповідно до пункту 4 цього Положення; 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сума податку, обчислена з урахуванням підпунктів 2 і 3 цього пункту, розподіляється контролюючим органом пропорційно до питомої ваги загальної площі кожного з об'єктів житлової нерухомості.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за наявності у власності платника податку об’єкта (об’єктів) житлової нерухомості, у тому числі його частки, що перебуває у власності фізичної        чи юридичної особи - платника податку, загальна площа якого перевищує 300 квадратних метрів (для квартири) та/або 500 квадратних метрів (для будинку), </w:t>
      </w:r>
      <w:r>
        <w:rPr>
          <w:rFonts w:ascii="Times New Roman" w:hAnsi="Times New Roman" w:cs="Times New Roman"/>
          <w:sz w:val="28"/>
          <w:szCs w:val="28"/>
        </w:rPr>
        <w:lastRenderedPageBreak/>
        <w:t>сума податку збільшується на 25000 гривень на рік за кожен такий об’єкт житлової нерухомості (його частку).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Податкове/податкові повідомлення-рішення про сплату суми/сум податку, обчисленого згідно з пунктом 6.1 цього положення, та відповідні платіжні реквізити, зокрема, органів місцевого самоврядування                                           за місцезнаходженням кожного з об'єктів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новоствореного (нововведеного) об'єкта житлової та/або нежитлової нерухомості податок сплачується фізичною особою-платником починаючи         з місяця, в якому виникло право власності на такий об'єкт.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обчислення сум податку в разі зміни власника об'єкта оподаткування податком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 разі переходу права власності на об'єкт оподаткування від одного власника до іншого протягом календарного року податок обчислюється          для попереднього власника за період з 1 січня цього року до початку того місяця,в якому він втратив право власності на зазначений об'єкт оподаткування,        а для нового власника - починаючи з місяця, в якому виникло право власності.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сплати податку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8.1. Податок сплачується за місцем розташування об'єкта/об'єктів оподаткування     і зараховується до відповідного бюджету згідно з положеннями Бюджетного кодексу України.</w:t>
      </w:r>
    </w:p>
    <w:p w:rsidR="006F475D" w:rsidRDefault="004367B5">
      <w:pPr>
        <w:pStyle w:val="a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Строки сплати податку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Податкове зобов'язання за звітний рік з податку сплачується: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фізичними особами - протягом 60 днів з дня вручення податкового повідомлення-рішення;</w:t>
      </w:r>
    </w:p>
    <w:p w:rsidR="006F475D" w:rsidRDefault="004367B5">
      <w:pPr>
        <w:pStyle w:val="a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6F475D" w:rsidRDefault="006F475D">
      <w:pPr>
        <w:pStyle w:val="aa"/>
        <w:spacing w:before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475D" w:rsidRDefault="006F475D">
      <w:pPr>
        <w:pStyle w:val="aa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75D" w:rsidRDefault="006F475D">
      <w:pPr>
        <w:pStyle w:val="aa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75D" w:rsidRDefault="004367B5">
      <w:pPr>
        <w:pStyle w:val="western"/>
        <w:ind w:right="0"/>
        <w:rPr>
          <w:rFonts w:hint="eastAsia"/>
        </w:rPr>
      </w:pPr>
      <w:r>
        <w:rPr>
          <w:sz w:val="28"/>
          <w:szCs w:val="28"/>
          <w:lang w:val="uk-UA"/>
        </w:rPr>
        <w:t xml:space="preserve">Секретар сільської ради </w:t>
      </w:r>
      <w:r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Т.ДІБРОВА </w:t>
      </w:r>
    </w:p>
    <w:p w:rsidR="006F475D" w:rsidRDefault="006F475D">
      <w:pPr>
        <w:pStyle w:val="aa"/>
        <w:spacing w:before="0"/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475D" w:rsidRDefault="006F475D" w:rsidP="004367B5">
      <w:pPr>
        <w:pStyle w:val="a9"/>
        <w:tabs>
          <w:tab w:val="left" w:pos="3969"/>
        </w:tabs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6F475D" w:rsidRDefault="006F475D">
      <w:pPr>
        <w:jc w:val="both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</w:p>
    <w:sectPr w:rsidR="006F475D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;Corb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475D"/>
    <w:rsid w:val="004367B5"/>
    <w:rsid w:val="006F475D"/>
    <w:rsid w:val="007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9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;Corbel" w:hAnsi="Antiqua;Corbel" w:cs="Antiqua;Corbel"/>
      <w:b/>
      <w:color w:val="00000A"/>
      <w:sz w:val="26"/>
      <w:szCs w:val="20"/>
      <w:lang w:val="uk-UA"/>
    </w:rPr>
  </w:style>
  <w:style w:type="paragraph" w:customStyle="1" w:styleId="aa">
    <w:name w:val="Нормальний текст"/>
    <w:basedOn w:val="a"/>
    <w:qFormat/>
    <w:pPr>
      <w:spacing w:before="120"/>
      <w:ind w:firstLine="567"/>
    </w:pPr>
    <w:rPr>
      <w:rFonts w:ascii="Antiqua;Corbel" w:hAnsi="Antiqua;Corbel" w:cs="Antiqua;Corbel"/>
      <w:color w:val="00000A"/>
      <w:sz w:val="26"/>
      <w:szCs w:val="20"/>
      <w:lang w:val="uk-UA"/>
    </w:rPr>
  </w:style>
  <w:style w:type="paragraph" w:customStyle="1" w:styleId="western">
    <w:name w:val="western"/>
    <w:basedOn w:val="a"/>
    <w:qFormat/>
    <w:pPr>
      <w:spacing w:before="280"/>
      <w:ind w:right="2886"/>
    </w:pPr>
    <w:rPr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578C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C578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5943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2021-07-07T09:36:00Z</cp:lastPrinted>
  <dcterms:created xsi:type="dcterms:W3CDTF">2017-10-20T23:40:00Z</dcterms:created>
  <dcterms:modified xsi:type="dcterms:W3CDTF">2021-07-07T09:37:00Z</dcterms:modified>
  <dc:language>uk-UA</dc:language>
</cp:coreProperties>
</file>